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5F0D" w14:textId="2EBA993D" w:rsidR="008B7366" w:rsidRDefault="008B7366"/>
    <w:p w14:paraId="251B3052" w14:textId="77777777" w:rsidR="008B7366" w:rsidRDefault="008B7366"/>
    <w:p w14:paraId="1F196EEA" w14:textId="77777777" w:rsidR="008B7366" w:rsidRDefault="008B7366"/>
    <w:p w14:paraId="2DC0D888" w14:textId="77777777" w:rsidR="008B7366" w:rsidRDefault="008B7366"/>
    <w:p w14:paraId="5A3FA4DC" w14:textId="77777777" w:rsidR="008B7366" w:rsidRDefault="008B7366"/>
    <w:p w14:paraId="56A46263" w14:textId="77777777" w:rsidR="008B7366" w:rsidRDefault="008B7366"/>
    <w:p w14:paraId="7B5F6154" w14:textId="77777777" w:rsidR="008B7366" w:rsidRDefault="008B7366"/>
    <w:p w14:paraId="1525CCE7" w14:textId="77777777" w:rsidR="008B7366" w:rsidRDefault="008B7366"/>
    <w:p w14:paraId="66327748" w14:textId="77777777" w:rsidR="008B7366" w:rsidRDefault="008B7366"/>
    <w:p w14:paraId="3916FC4B" w14:textId="77777777" w:rsidR="008B7366" w:rsidRDefault="008B7366"/>
    <w:p w14:paraId="41D99BBE" w14:textId="77777777" w:rsidR="008B7366" w:rsidRDefault="008B7366"/>
    <w:p w14:paraId="5438A156" w14:textId="77777777" w:rsidR="008B7366" w:rsidRDefault="008B7366"/>
    <w:p w14:paraId="1B924DDD" w14:textId="77777777" w:rsidR="008B7366" w:rsidRDefault="008B7366"/>
    <w:p w14:paraId="56C1E728" w14:textId="77777777" w:rsidR="008B7366" w:rsidRDefault="008B7366"/>
    <w:p w14:paraId="67CDDB7F" w14:textId="77777777" w:rsidR="008B7366" w:rsidRDefault="008B7366"/>
    <w:p w14:paraId="5F6A7B8A" w14:textId="77777777" w:rsidR="008B7366" w:rsidRDefault="008B7366"/>
    <w:p w14:paraId="13124643" w14:textId="77777777" w:rsidR="008B7366" w:rsidRDefault="008B7366"/>
    <w:p w14:paraId="3F1E25BF" w14:textId="77777777" w:rsidR="008B7366" w:rsidRDefault="008B7366"/>
    <w:p w14:paraId="029AED14" w14:textId="77777777" w:rsidR="008B7366" w:rsidRDefault="008B7366"/>
    <w:p w14:paraId="0C85BFD5" w14:textId="77777777" w:rsidR="008B7366" w:rsidRDefault="008B7366"/>
    <w:p w14:paraId="021CFE44" w14:textId="77777777" w:rsidR="008B7366" w:rsidRDefault="008B7366"/>
    <w:p w14:paraId="2D531D6F" w14:textId="77777777" w:rsidR="008B7366" w:rsidRDefault="008B7366"/>
    <w:p w14:paraId="689CF262" w14:textId="77777777" w:rsidR="008B7366" w:rsidRPr="006B1EDF" w:rsidRDefault="008B7366" w:rsidP="006B1EDF">
      <w:pPr>
        <w:jc w:val="center"/>
        <w:rPr>
          <w:b/>
          <w:bCs/>
        </w:rPr>
      </w:pPr>
    </w:p>
    <w:p w14:paraId="680B995A" w14:textId="77777777" w:rsidR="008B7366" w:rsidRPr="00505C87" w:rsidRDefault="009866CA" w:rsidP="006B1EDF">
      <w:pPr>
        <w:jc w:val="center"/>
      </w:pPr>
      <w:r w:rsidRPr="00505C87">
        <w:rPr>
          <w:b/>
          <w:bCs/>
        </w:rPr>
        <w:t>ANHANG I</w:t>
      </w:r>
    </w:p>
    <w:p w14:paraId="20070649" w14:textId="77777777" w:rsidR="008B7366" w:rsidRDefault="008B7366"/>
    <w:p w14:paraId="4888EA46" w14:textId="77777777" w:rsidR="008B7366" w:rsidRDefault="009866CA">
      <w:pPr>
        <w:pStyle w:val="TitleA"/>
      </w:pPr>
      <w:r>
        <w:t>ZUSAMMENFASSUNG DER MERKMALE DES ARZNEIMITTELS</w:t>
      </w:r>
    </w:p>
    <w:p w14:paraId="47904B68" w14:textId="77777777" w:rsidR="008B7366" w:rsidRDefault="009866CA">
      <w:r>
        <w:br w:type="page"/>
      </w:r>
    </w:p>
    <w:p w14:paraId="5AAB0F47" w14:textId="77777777" w:rsidR="008B7366" w:rsidRDefault="008B7366"/>
    <w:p w14:paraId="6F75EC6F" w14:textId="77777777" w:rsidR="008B7366" w:rsidRDefault="008B7366"/>
    <w:p w14:paraId="19FC4FC5" w14:textId="77777777" w:rsidR="008B7366" w:rsidRDefault="009866CA">
      <w:pPr>
        <w:pStyle w:val="Heading1"/>
      </w:pPr>
      <w:r>
        <w:t>1.</w:t>
      </w:r>
      <w:r>
        <w:tab/>
        <w:t>BEZEICHNUNG DES ARZNEIMITTELS</w:t>
      </w:r>
    </w:p>
    <w:p w14:paraId="7F8CEC57" w14:textId="77777777" w:rsidR="008B7366" w:rsidRDefault="008B7366">
      <w:pPr>
        <w:keepNext/>
      </w:pPr>
    </w:p>
    <w:p w14:paraId="5C53B326" w14:textId="77777777" w:rsidR="008B7366" w:rsidRDefault="009866CA">
      <w:proofErr w:type="spellStart"/>
      <w:r>
        <w:t>Vaxchora</w:t>
      </w:r>
      <w:proofErr w:type="spellEnd"/>
      <w:r>
        <w:t xml:space="preserve"> Brausepulver und Pulver zur Herstellung einer Suspension zum Einnehmen</w:t>
      </w:r>
    </w:p>
    <w:p w14:paraId="120CA83A" w14:textId="77777777" w:rsidR="008B7366" w:rsidRDefault="009866CA">
      <w:r>
        <w:t>Cholera-Impfstoff (rekombinant, lebend, zum Einnehmen)</w:t>
      </w:r>
    </w:p>
    <w:p w14:paraId="0A9E705F" w14:textId="77777777" w:rsidR="008B7366" w:rsidRDefault="008B7366"/>
    <w:p w14:paraId="7B49A1EF" w14:textId="77777777" w:rsidR="008B7366" w:rsidRDefault="008B7366"/>
    <w:p w14:paraId="52D63B38" w14:textId="77777777" w:rsidR="008B7366" w:rsidRDefault="009866CA">
      <w:pPr>
        <w:pStyle w:val="Heading1"/>
      </w:pPr>
      <w:r>
        <w:t>2.</w:t>
      </w:r>
      <w:r>
        <w:tab/>
        <w:t>QUALITATIVE UND QUANTITATIVE ZUSAMMENSETZUNG</w:t>
      </w:r>
    </w:p>
    <w:p w14:paraId="7FAAB4AC" w14:textId="77777777" w:rsidR="008B7366" w:rsidRDefault="008B7366">
      <w:pPr>
        <w:keepNext/>
      </w:pPr>
    </w:p>
    <w:p w14:paraId="52E228D0" w14:textId="3303C173" w:rsidR="008B7366" w:rsidRDefault="009866CA">
      <w:r>
        <w:t>Eine Dosis Impfstoff enthält 4</w:t>
      </w:r>
      <w:r w:rsidR="009C0C5F">
        <w:t> </w:t>
      </w:r>
      <w:r>
        <w:t>×</w:t>
      </w:r>
      <w:r w:rsidR="009C0C5F">
        <w:t> </w:t>
      </w:r>
      <w:r>
        <w:t>10</w:t>
      </w:r>
      <w:r>
        <w:rPr>
          <w:rStyle w:val="Superscript"/>
        </w:rPr>
        <w:t>8</w:t>
      </w:r>
      <w:r>
        <w:t xml:space="preserve"> bis 2</w:t>
      </w:r>
      <w:r w:rsidR="009C0C5F">
        <w:t> </w:t>
      </w:r>
      <w:r>
        <w:t>×</w:t>
      </w:r>
      <w:r w:rsidR="009C0C5F">
        <w:t> </w:t>
      </w:r>
      <w:r>
        <w:t>10</w:t>
      </w:r>
      <w:r>
        <w:rPr>
          <w:rStyle w:val="Superscript"/>
        </w:rPr>
        <w:t>9</w:t>
      </w:r>
      <w:r>
        <w:t xml:space="preserve"> </w:t>
      </w:r>
      <w:r w:rsidR="00A60EE3">
        <w:t>Lebendzellen des</w:t>
      </w:r>
      <w:r>
        <w:t xml:space="preserve"> abgeschwächten </w:t>
      </w:r>
      <w:r>
        <w:rPr>
          <w:rStyle w:val="Emphasis"/>
        </w:rPr>
        <w:t>V</w:t>
      </w:r>
      <w:r w:rsidR="009D3979">
        <w:rPr>
          <w:rStyle w:val="Emphasis"/>
        </w:rPr>
        <w:t>ibrio</w:t>
      </w:r>
      <w:r w:rsidR="00BC751D">
        <w:t>-</w:t>
      </w:r>
      <w:r>
        <w:rPr>
          <w:rStyle w:val="Emphasis"/>
        </w:rPr>
        <w:t>cholerae</w:t>
      </w:r>
      <w:r>
        <w:t>-Stamms CVD 103-HgR</w:t>
      </w:r>
      <w:r>
        <w:rPr>
          <w:rStyle w:val="Superscript"/>
        </w:rPr>
        <w:t>1</w:t>
      </w:r>
      <w:r>
        <w:t>.</w:t>
      </w:r>
    </w:p>
    <w:p w14:paraId="5692B98C" w14:textId="77777777" w:rsidR="008064F9" w:rsidRDefault="008064F9"/>
    <w:p w14:paraId="494496FE" w14:textId="77777777" w:rsidR="008B7366" w:rsidRDefault="009866CA">
      <w:r>
        <w:rPr>
          <w:rStyle w:val="Superscript"/>
        </w:rPr>
        <w:t>1</w:t>
      </w:r>
      <w:r>
        <w:t xml:space="preserve"> Hergestellt mittels rekombinanter DNA-Technologie.</w:t>
      </w:r>
    </w:p>
    <w:p w14:paraId="67616989" w14:textId="77777777" w:rsidR="008B7366" w:rsidRDefault="008B7366"/>
    <w:p w14:paraId="1F1A8FC1" w14:textId="77777777" w:rsidR="008B7366" w:rsidRDefault="009866CA">
      <w:r>
        <w:t>Dieses Produkt enthält genetisch veränderte Organismen (</w:t>
      </w:r>
      <w:proofErr w:type="spellStart"/>
      <w:r>
        <w:t>Genetically</w:t>
      </w:r>
      <w:proofErr w:type="spellEnd"/>
      <w:r>
        <w:t xml:space="preserve"> </w:t>
      </w:r>
      <w:proofErr w:type="spellStart"/>
      <w:r>
        <w:t>Modified</w:t>
      </w:r>
      <w:proofErr w:type="spellEnd"/>
      <w:r>
        <w:t xml:space="preserve"> </w:t>
      </w:r>
      <w:proofErr w:type="spellStart"/>
      <w:r>
        <w:t>Organisms</w:t>
      </w:r>
      <w:proofErr w:type="spellEnd"/>
      <w:r>
        <w:t>, GMO).</w:t>
      </w:r>
    </w:p>
    <w:p w14:paraId="59099091" w14:textId="77777777" w:rsidR="008B7366" w:rsidRDefault="008B7366"/>
    <w:p w14:paraId="1FF09199" w14:textId="3F84EB21" w:rsidR="00702769" w:rsidRPr="006B1EDF" w:rsidRDefault="009866CA">
      <w:pPr>
        <w:rPr>
          <w:u w:val="single"/>
        </w:rPr>
      </w:pPr>
      <w:r w:rsidRPr="006B1EDF">
        <w:rPr>
          <w:u w:val="single"/>
        </w:rPr>
        <w:t>Sonstige Bestandteile mit bekannter Wirkung</w:t>
      </w:r>
    </w:p>
    <w:p w14:paraId="0C89C0C6" w14:textId="77777777" w:rsidR="00DE7DBE" w:rsidRDefault="00DE7DBE"/>
    <w:p w14:paraId="5EFBE004" w14:textId="6A6D1B03" w:rsidR="008B7366" w:rsidRDefault="009866CA">
      <w:r>
        <w:t xml:space="preserve">Eine Dosis Impfstoff enthält </w:t>
      </w:r>
      <w:r w:rsidR="00B97B6D">
        <w:t xml:space="preserve">ca. 2,3 Gramm </w:t>
      </w:r>
      <w:r>
        <w:t xml:space="preserve">Lactose, </w:t>
      </w:r>
      <w:r w:rsidR="00382430">
        <w:t xml:space="preserve">12,5 Milligramm </w:t>
      </w:r>
      <w:r w:rsidR="002C6B90">
        <w:t>Saccharose</w:t>
      </w:r>
      <w:r>
        <w:t xml:space="preserve"> und 863</w:t>
      </w:r>
      <w:r w:rsidR="0004242E">
        <w:t> </w:t>
      </w:r>
      <w:r>
        <w:t>Milligramm Natrium.</w:t>
      </w:r>
    </w:p>
    <w:p w14:paraId="7FCDF562" w14:textId="77777777" w:rsidR="008B7366" w:rsidRDefault="008B7366"/>
    <w:p w14:paraId="1B4B9B14" w14:textId="2797F446" w:rsidR="008B7366" w:rsidRDefault="009866CA">
      <w:r>
        <w:t>Vollständige Auflistung der sonstigen Bestandteile</w:t>
      </w:r>
      <w:r w:rsidR="00702769">
        <w:t>,</w:t>
      </w:r>
      <w:r>
        <w:t xml:space="preserve"> siehe Abschnitt 6.1.</w:t>
      </w:r>
    </w:p>
    <w:p w14:paraId="3E890616" w14:textId="77777777" w:rsidR="008B7366" w:rsidRDefault="008B7366"/>
    <w:p w14:paraId="29BB6032" w14:textId="77777777" w:rsidR="008B7366" w:rsidRDefault="008B7366"/>
    <w:p w14:paraId="14662EB7" w14:textId="77777777" w:rsidR="008B7366" w:rsidRDefault="009866CA">
      <w:pPr>
        <w:pStyle w:val="Heading1"/>
      </w:pPr>
      <w:r>
        <w:t>3.</w:t>
      </w:r>
      <w:r>
        <w:tab/>
        <w:t>DARREICHUNGSFORM</w:t>
      </w:r>
    </w:p>
    <w:p w14:paraId="2F1AE013" w14:textId="77777777" w:rsidR="008B7366" w:rsidRDefault="008B7366">
      <w:pPr>
        <w:keepNext/>
      </w:pPr>
    </w:p>
    <w:p w14:paraId="3512F838" w14:textId="77777777" w:rsidR="008B7366" w:rsidRDefault="009866CA">
      <w:r>
        <w:t>Brausepulver und Pulver zur Herstellung einer Suspension zum Einnehmen.</w:t>
      </w:r>
    </w:p>
    <w:p w14:paraId="33C9427A" w14:textId="77777777" w:rsidR="008B7366" w:rsidRDefault="009866CA">
      <w:r>
        <w:t>Weißes bis cremefarbenes Puffer-Pulver und weißes bis beigefarbenes Wirkstoff-Pulver.</w:t>
      </w:r>
    </w:p>
    <w:p w14:paraId="4B081CC2" w14:textId="77777777" w:rsidR="008B7366" w:rsidRDefault="008B7366"/>
    <w:p w14:paraId="11442189" w14:textId="77777777" w:rsidR="008B7366" w:rsidRDefault="008B7366"/>
    <w:p w14:paraId="7DC73D30" w14:textId="77777777" w:rsidR="008B7366" w:rsidRDefault="009866CA">
      <w:pPr>
        <w:pStyle w:val="Heading1"/>
      </w:pPr>
      <w:r>
        <w:t>4.</w:t>
      </w:r>
      <w:r>
        <w:tab/>
        <w:t>KLINISCHE ANGABEN</w:t>
      </w:r>
    </w:p>
    <w:p w14:paraId="5F835205" w14:textId="77777777" w:rsidR="008B7366" w:rsidRDefault="008B7366">
      <w:pPr>
        <w:keepNext/>
      </w:pPr>
    </w:p>
    <w:p w14:paraId="4BEE861F" w14:textId="77777777" w:rsidR="008B7366" w:rsidRDefault="009866CA">
      <w:pPr>
        <w:pStyle w:val="Heading2"/>
      </w:pPr>
      <w:r>
        <w:t>4.1</w:t>
      </w:r>
      <w:r>
        <w:tab/>
        <w:t>Anwendungsgebiete</w:t>
      </w:r>
    </w:p>
    <w:p w14:paraId="189C3A37" w14:textId="77777777" w:rsidR="008B7366" w:rsidRDefault="008B7366">
      <w:pPr>
        <w:keepNext/>
      </w:pPr>
    </w:p>
    <w:p w14:paraId="3C72197C" w14:textId="77777777" w:rsidR="008B7366" w:rsidRDefault="009866CA">
      <w:proofErr w:type="spellStart"/>
      <w:r>
        <w:t>Vaxchora</w:t>
      </w:r>
      <w:proofErr w:type="spellEnd"/>
      <w:r>
        <w:t xml:space="preserve"> ist zur aktiven Immunisierung gegen die durch die </w:t>
      </w:r>
      <w:r>
        <w:rPr>
          <w:rStyle w:val="Emphasis"/>
        </w:rPr>
        <w:t>Vibrio cholerae</w:t>
      </w:r>
      <w:r>
        <w:t xml:space="preserve"> </w:t>
      </w:r>
      <w:proofErr w:type="spellStart"/>
      <w:r>
        <w:t>Serogruppe</w:t>
      </w:r>
      <w:proofErr w:type="spellEnd"/>
      <w:r>
        <w:t xml:space="preserve"> O1 verursachte Erkrankung bei Erwachsenen und Kindern ab </w:t>
      </w:r>
      <w:r w:rsidR="00351AAD">
        <w:t>2</w:t>
      </w:r>
      <w:r>
        <w:t> Jahren angezeigt.</w:t>
      </w:r>
    </w:p>
    <w:p w14:paraId="00488B28" w14:textId="77777777" w:rsidR="008B7366" w:rsidRDefault="008B7366"/>
    <w:p w14:paraId="7A0F4097" w14:textId="77777777" w:rsidR="008B7366" w:rsidRDefault="009866CA">
      <w:r>
        <w:t>Die Anwendung dieses Impfstoffs sollte auf der Grundlage der offiziellen Empfehlungen erfolgen.</w:t>
      </w:r>
    </w:p>
    <w:p w14:paraId="362DD080" w14:textId="77777777" w:rsidR="008B7366" w:rsidRDefault="008B7366"/>
    <w:p w14:paraId="16A49917" w14:textId="77777777" w:rsidR="008B7366" w:rsidRDefault="009866CA">
      <w:pPr>
        <w:pStyle w:val="Heading2"/>
      </w:pPr>
      <w:r>
        <w:t>4.2</w:t>
      </w:r>
      <w:r>
        <w:tab/>
        <w:t>Dosierung und Art der Anwendung</w:t>
      </w:r>
    </w:p>
    <w:p w14:paraId="4391D1FC" w14:textId="77777777" w:rsidR="008B7366" w:rsidRDefault="008B7366">
      <w:pPr>
        <w:keepNext/>
      </w:pPr>
    </w:p>
    <w:p w14:paraId="4C318717" w14:textId="77777777" w:rsidR="008B7366" w:rsidRDefault="009866CA">
      <w:pPr>
        <w:pStyle w:val="HeadingUnderlined"/>
      </w:pPr>
      <w:r>
        <w:t>Dosierung</w:t>
      </w:r>
    </w:p>
    <w:p w14:paraId="23184F54" w14:textId="77777777" w:rsidR="008B7366" w:rsidRDefault="008B7366"/>
    <w:p w14:paraId="76A81869" w14:textId="77777777" w:rsidR="008B7366" w:rsidRPr="006B1EDF" w:rsidRDefault="009866CA">
      <w:pPr>
        <w:pStyle w:val="HeadingStrongEmphasis"/>
        <w:rPr>
          <w:b w:val="0"/>
          <w:bCs w:val="0"/>
        </w:rPr>
      </w:pPr>
      <w:r w:rsidRPr="006B1EDF">
        <w:rPr>
          <w:b w:val="0"/>
          <w:bCs w:val="0"/>
        </w:rPr>
        <w:t xml:space="preserve">Erwachsene und Kinder ab </w:t>
      </w:r>
      <w:r w:rsidR="00351AAD" w:rsidRPr="006B1EDF">
        <w:rPr>
          <w:b w:val="0"/>
          <w:bCs w:val="0"/>
        </w:rPr>
        <w:t>2</w:t>
      </w:r>
      <w:r w:rsidRPr="006B1EDF">
        <w:rPr>
          <w:b w:val="0"/>
          <w:bCs w:val="0"/>
        </w:rPr>
        <w:t> Jahren</w:t>
      </w:r>
    </w:p>
    <w:p w14:paraId="29BD7E9D" w14:textId="77777777" w:rsidR="008B7366" w:rsidRDefault="008B7366" w:rsidP="00554BEA">
      <w:pPr>
        <w:keepNext/>
      </w:pPr>
    </w:p>
    <w:p w14:paraId="65AF1A49" w14:textId="76B23F4B" w:rsidR="008B7366" w:rsidRDefault="009866CA">
      <w:r>
        <w:t xml:space="preserve">Eine Einzeldosis zum Einnehmen sollte spätestens 10 Tage vor einer potenziellen Exposition mit </w:t>
      </w:r>
      <w:r>
        <w:rPr>
          <w:rStyle w:val="Emphasis"/>
        </w:rPr>
        <w:t>V</w:t>
      </w:r>
      <w:r w:rsidR="006924C1">
        <w:rPr>
          <w:rStyle w:val="Emphasis"/>
        </w:rPr>
        <w:t>ibrio</w:t>
      </w:r>
      <w:r>
        <w:t> </w:t>
      </w:r>
      <w:r>
        <w:rPr>
          <w:rStyle w:val="Emphasis"/>
        </w:rPr>
        <w:t>cholerae</w:t>
      </w:r>
      <w:r>
        <w:t xml:space="preserve"> O1 verabreicht werden.</w:t>
      </w:r>
    </w:p>
    <w:p w14:paraId="3D743F71" w14:textId="77777777" w:rsidR="008D01B1" w:rsidRDefault="008D01B1" w:rsidP="008D01B1">
      <w:r>
        <w:t xml:space="preserve">Wird weniger als die Hälfte der Dosis eingenommen, ist möglicherweise keine vollständige Schutzwirkung gegeben. Wenn weniger als die Hälfte der Dosis eingenommen wurde, kann in Erwägung gezogen werden, die Einnahme einer vollständigen Dosis </w:t>
      </w:r>
      <w:proofErr w:type="spellStart"/>
      <w:r w:rsidRPr="006F1F35">
        <w:t>Vaxchora</w:t>
      </w:r>
      <w:proofErr w:type="spellEnd"/>
      <w:r>
        <w:t xml:space="preserve"> innerhalb von 72 Stunden zu wiederholen.</w:t>
      </w:r>
    </w:p>
    <w:p w14:paraId="099046C7" w14:textId="77777777" w:rsidR="008B7366" w:rsidRDefault="008B7366"/>
    <w:p w14:paraId="7EF7F51D" w14:textId="77777777" w:rsidR="008B7366" w:rsidRPr="006B1EDF" w:rsidRDefault="009866CA">
      <w:pPr>
        <w:pStyle w:val="HeadingStrongEmphasis"/>
        <w:rPr>
          <w:b w:val="0"/>
          <w:bCs w:val="0"/>
        </w:rPr>
      </w:pPr>
      <w:r w:rsidRPr="006B1EDF">
        <w:rPr>
          <w:b w:val="0"/>
          <w:bCs w:val="0"/>
        </w:rPr>
        <w:t>Auffrischungsimpfung</w:t>
      </w:r>
    </w:p>
    <w:p w14:paraId="09835BEA" w14:textId="77777777" w:rsidR="008B7366" w:rsidRDefault="008B7366" w:rsidP="00554BEA">
      <w:pPr>
        <w:keepNext/>
      </w:pPr>
    </w:p>
    <w:p w14:paraId="0F69D596" w14:textId="77777777" w:rsidR="008B7366" w:rsidRDefault="009866CA">
      <w:r>
        <w:t>Es liegen keine Daten für d</w:t>
      </w:r>
      <w:r w:rsidR="00D9269A">
        <w:t>as</w:t>
      </w:r>
      <w:r>
        <w:t xml:space="preserve"> Intervall der Auffrischungsimpfung vor.</w:t>
      </w:r>
    </w:p>
    <w:p w14:paraId="6A338A18" w14:textId="77777777" w:rsidR="008B7366" w:rsidRDefault="008B7366"/>
    <w:p w14:paraId="4C0402B3" w14:textId="77777777" w:rsidR="008B7366" w:rsidRDefault="009866CA">
      <w:pPr>
        <w:pStyle w:val="HeadingEmphasis"/>
      </w:pPr>
      <w:r>
        <w:lastRenderedPageBreak/>
        <w:t>Kinder und Jugendliche</w:t>
      </w:r>
    </w:p>
    <w:p w14:paraId="50E86943" w14:textId="77777777" w:rsidR="008B7366" w:rsidRDefault="008B7366" w:rsidP="00554BEA">
      <w:pPr>
        <w:keepNext/>
      </w:pPr>
    </w:p>
    <w:p w14:paraId="7F1B202E" w14:textId="77777777" w:rsidR="008B7366" w:rsidRDefault="009866CA">
      <w:r>
        <w:t xml:space="preserve">Die Sicherheit und Wirksamkeit von </w:t>
      </w:r>
      <w:proofErr w:type="spellStart"/>
      <w:r>
        <w:t>Vaxchora</w:t>
      </w:r>
      <w:proofErr w:type="spellEnd"/>
      <w:r>
        <w:t xml:space="preserve"> bei Kindern unter </w:t>
      </w:r>
      <w:r w:rsidR="00351AAD">
        <w:t>2</w:t>
      </w:r>
      <w:r>
        <w:t> Jahren ist nicht erwiesen. Es liegen keine Daten vor.</w:t>
      </w:r>
    </w:p>
    <w:p w14:paraId="4EAE73AE" w14:textId="77777777" w:rsidR="008B7366" w:rsidRDefault="008B7366"/>
    <w:p w14:paraId="1598B481" w14:textId="77777777" w:rsidR="008B7366" w:rsidRDefault="009866CA">
      <w:pPr>
        <w:pStyle w:val="HeadingUnderlined"/>
      </w:pPr>
      <w:r>
        <w:t>Art der Anwendung</w:t>
      </w:r>
    </w:p>
    <w:p w14:paraId="1E51679F" w14:textId="77777777" w:rsidR="008B7366" w:rsidRDefault="008B7366" w:rsidP="00554BEA">
      <w:pPr>
        <w:keepNext/>
      </w:pPr>
    </w:p>
    <w:p w14:paraId="3400FF6D" w14:textId="77777777" w:rsidR="008B7366" w:rsidRDefault="009866CA">
      <w:r>
        <w:t>Zum Einnehmen.</w:t>
      </w:r>
    </w:p>
    <w:p w14:paraId="2553C913" w14:textId="77777777" w:rsidR="008B7366" w:rsidRDefault="008B7366"/>
    <w:p w14:paraId="1A559487" w14:textId="76243BDB" w:rsidR="008B7366" w:rsidRDefault="009866CA">
      <w:r>
        <w:t xml:space="preserve">Hinweise zur Rekonstitution von </w:t>
      </w:r>
      <w:proofErr w:type="spellStart"/>
      <w:r>
        <w:t>Vaxchora</w:t>
      </w:r>
      <w:proofErr w:type="spellEnd"/>
      <w:r>
        <w:t xml:space="preserve"> vor der Anwendung</w:t>
      </w:r>
      <w:r w:rsidR="00E60EAF">
        <w:t>,</w:t>
      </w:r>
      <w:r>
        <w:t xml:space="preserve"> siehe Abschnitt 6.6.</w:t>
      </w:r>
    </w:p>
    <w:p w14:paraId="602FC27A" w14:textId="77777777" w:rsidR="008B7366" w:rsidRDefault="008B7366"/>
    <w:p w14:paraId="2344AE72" w14:textId="2F330E18" w:rsidR="008B7366" w:rsidRDefault="009866CA">
      <w:r>
        <w:t xml:space="preserve">60 Minuten vor bis 60 Minuten nach der Einnahme </w:t>
      </w:r>
      <w:r w:rsidR="0021627F">
        <w:t>dieses Impfstoffs</w:t>
      </w:r>
      <w:r>
        <w:t xml:space="preserve"> sollte auf den Verzehr von Nahrungsmitteln und Getränken verzichtet werden.</w:t>
      </w:r>
    </w:p>
    <w:p w14:paraId="1CE50303" w14:textId="54B06D48" w:rsidR="008B7366" w:rsidRDefault="009866CA">
      <w:r>
        <w:t>Der rekonstituierte Impfstoff bildet eine leicht trübe Suspension, die weiße Partikel enthalten kann. Die Suspension sollte nach der Rekonstitution innerhalb von 15 Minuten eingenommen werden. Der Inhalt des Bechers sollte vollständig und in einem Zug getrunken werden.</w:t>
      </w:r>
    </w:p>
    <w:p w14:paraId="49199135" w14:textId="77777777" w:rsidR="008B7366" w:rsidRDefault="008B7366"/>
    <w:p w14:paraId="74E46821" w14:textId="77777777" w:rsidR="008B7366" w:rsidRDefault="009866CA">
      <w:pPr>
        <w:pStyle w:val="Heading2"/>
      </w:pPr>
      <w:r>
        <w:t>4.3</w:t>
      </w:r>
      <w:r>
        <w:tab/>
        <w:t>Gegenanzeigen</w:t>
      </w:r>
    </w:p>
    <w:p w14:paraId="797BBDEF" w14:textId="77777777" w:rsidR="008B7366" w:rsidRDefault="008B7366">
      <w:pPr>
        <w:keepNext/>
      </w:pPr>
    </w:p>
    <w:p w14:paraId="1B327515" w14:textId="77777777" w:rsidR="008B7366" w:rsidRDefault="009866CA">
      <w:r>
        <w:t>Überempfindlichkeit gegen den (die) Wirkstoff(e) oder einen der in Abschnitt 6.1 genannten sonstigen Bestandteile.</w:t>
      </w:r>
    </w:p>
    <w:p w14:paraId="49DDD23F" w14:textId="77777777" w:rsidR="008B7366" w:rsidRDefault="008B7366"/>
    <w:p w14:paraId="5DD78943" w14:textId="20131A22" w:rsidR="008B7366" w:rsidRDefault="009866CA">
      <w:r>
        <w:t xml:space="preserve">Menschen, bei denen eine angeborene Immunschwäche vorliegt oder </w:t>
      </w:r>
      <w:proofErr w:type="gramStart"/>
      <w:r>
        <w:t>die immunsuppressive Therapien</w:t>
      </w:r>
      <w:proofErr w:type="gramEnd"/>
      <w:r>
        <w:t xml:space="preserve"> erhalten.</w:t>
      </w:r>
    </w:p>
    <w:p w14:paraId="30B9A908" w14:textId="77777777" w:rsidR="008B7366" w:rsidRDefault="008B7366"/>
    <w:p w14:paraId="5D965BA4" w14:textId="77777777" w:rsidR="008B7366" w:rsidRDefault="009866CA">
      <w:pPr>
        <w:pStyle w:val="Heading2"/>
      </w:pPr>
      <w:r>
        <w:t>4.4</w:t>
      </w:r>
      <w:r>
        <w:tab/>
        <w:t>Besondere Warnhinweise und Vorsichtsmaßnahmen für die Anwendung</w:t>
      </w:r>
    </w:p>
    <w:p w14:paraId="6C468435" w14:textId="77777777" w:rsidR="008B7366" w:rsidRDefault="008B7366"/>
    <w:p w14:paraId="684AD917" w14:textId="77777777" w:rsidR="008B7366" w:rsidRDefault="009866CA">
      <w:pPr>
        <w:pStyle w:val="HeadingUnderlined"/>
      </w:pPr>
      <w:r>
        <w:t>Rückverfolgbarkeit</w:t>
      </w:r>
    </w:p>
    <w:p w14:paraId="1A7740AB" w14:textId="77777777" w:rsidR="008B7366" w:rsidRDefault="008B7366">
      <w:pPr>
        <w:keepNext/>
      </w:pPr>
    </w:p>
    <w:p w14:paraId="6BF89684" w14:textId="77777777" w:rsidR="008B7366" w:rsidRDefault="009866CA">
      <w:r>
        <w:t>Um die Rückverfolgbarkeit biologischer Arzneimittel zu verbessern, müssen die Bezeichnung des Arzneimittels und die Chargenbezeichnung des angewendeten Arzneimittels eindeutig dokumentiert werden.</w:t>
      </w:r>
    </w:p>
    <w:p w14:paraId="3AB34136" w14:textId="77777777" w:rsidR="008B7366" w:rsidRDefault="008B7366"/>
    <w:p w14:paraId="09D986D1" w14:textId="77777777" w:rsidR="008B7366" w:rsidRDefault="009866CA">
      <w:pPr>
        <w:pStyle w:val="HeadingUnderlined"/>
      </w:pPr>
      <w:r>
        <w:t>Faktoren, die den Schutz beeinträchtigen</w:t>
      </w:r>
    </w:p>
    <w:p w14:paraId="7915BD5D" w14:textId="77777777" w:rsidR="008B7366" w:rsidRDefault="008B7366">
      <w:pPr>
        <w:keepNext/>
      </w:pPr>
    </w:p>
    <w:p w14:paraId="520E96E4" w14:textId="17DE4386" w:rsidR="008B7366" w:rsidRDefault="009866CA">
      <w:proofErr w:type="spellStart"/>
      <w:r>
        <w:t>Vaxchora</w:t>
      </w:r>
      <w:proofErr w:type="spellEnd"/>
      <w:r>
        <w:t xml:space="preserve"> verleiht einen spezi</w:t>
      </w:r>
      <w:r w:rsidR="00D9269A">
        <w:t>fisch</w:t>
      </w:r>
      <w:r w:rsidR="00D710B9">
        <w:t>en</w:t>
      </w:r>
      <w:r>
        <w:t xml:space="preserve"> Schutz gegen </w:t>
      </w:r>
      <w:r>
        <w:rPr>
          <w:rStyle w:val="Emphasis"/>
        </w:rPr>
        <w:t>Vibrio cholerae</w:t>
      </w:r>
      <w:r>
        <w:t xml:space="preserve"> </w:t>
      </w:r>
      <w:proofErr w:type="spellStart"/>
      <w:r>
        <w:t>Serogruppe</w:t>
      </w:r>
      <w:proofErr w:type="spellEnd"/>
      <w:r>
        <w:t xml:space="preserve"> O1. Die Immunisierung schützt nicht gegen </w:t>
      </w:r>
      <w:r>
        <w:rPr>
          <w:rStyle w:val="Emphasis"/>
        </w:rPr>
        <w:t>V</w:t>
      </w:r>
      <w:r w:rsidR="002551C4">
        <w:rPr>
          <w:rStyle w:val="Emphasis"/>
        </w:rPr>
        <w:t>ibrio</w:t>
      </w:r>
      <w:r>
        <w:t> </w:t>
      </w:r>
      <w:r>
        <w:rPr>
          <w:rStyle w:val="Emphasis"/>
        </w:rPr>
        <w:t>cholerae</w:t>
      </w:r>
      <w:r>
        <w:t xml:space="preserve"> O139 oder andere Vibrionen-Spezies.</w:t>
      </w:r>
    </w:p>
    <w:p w14:paraId="14BF7748" w14:textId="77777777" w:rsidR="008B7366" w:rsidRDefault="008B7366"/>
    <w:p w14:paraId="104FBF74" w14:textId="44D135DC" w:rsidR="008B7366" w:rsidRDefault="002551C4">
      <w:r>
        <w:t xml:space="preserve">Dieser Impfstoff </w:t>
      </w:r>
      <w:r w:rsidR="009866CA">
        <w:t xml:space="preserve">bietet keinen 100%igen Schutz. Die geimpften Personen sollten sich an die Vorkehrungen zur Hygiene halten und Vorsicht beim </w:t>
      </w:r>
      <w:r w:rsidR="00D710B9">
        <w:t>Verzehr</w:t>
      </w:r>
      <w:r w:rsidR="00640638">
        <w:t xml:space="preserve"> </w:t>
      </w:r>
      <w:r w:rsidR="009866CA">
        <w:t>von Nahrungsmitteln und Wasser in Choleragebieten walten lassen.</w:t>
      </w:r>
    </w:p>
    <w:p w14:paraId="5E7084C1" w14:textId="77777777" w:rsidR="008B7366" w:rsidRDefault="008B7366"/>
    <w:p w14:paraId="1DA1C21F" w14:textId="77777777" w:rsidR="008B7366" w:rsidRDefault="009866CA">
      <w:r>
        <w:t>Es liegen keine Daten über Personen, die in Choleragebieten leben, oder über Menschen mit einer vorbestehenden Immunität gegenüber Cholera vor.</w:t>
      </w:r>
    </w:p>
    <w:p w14:paraId="61A0E937" w14:textId="77777777" w:rsidR="008B7366" w:rsidRDefault="008B7366"/>
    <w:p w14:paraId="751FC788" w14:textId="290C0C05" w:rsidR="008B7366" w:rsidRDefault="009866CA">
      <w:r>
        <w:t xml:space="preserve">Der Schutz durch </w:t>
      </w:r>
      <w:r w:rsidR="003C0D3F">
        <w:t xml:space="preserve">diesen Impfstoff </w:t>
      </w:r>
      <w:r>
        <w:t>kann bei Menschen mit HIV-Infektion vermindert sein.</w:t>
      </w:r>
    </w:p>
    <w:p w14:paraId="5F36A377" w14:textId="77777777" w:rsidR="008B7366" w:rsidRDefault="008B7366"/>
    <w:p w14:paraId="4E29FE32" w14:textId="77777777" w:rsidR="008B7366" w:rsidRDefault="009866CA">
      <w:pPr>
        <w:pStyle w:val="HeadingUnderlined"/>
      </w:pPr>
      <w:r>
        <w:t>Mögliche Risiken bei Kontakt</w:t>
      </w:r>
    </w:p>
    <w:p w14:paraId="3C09A892" w14:textId="77777777" w:rsidR="008B7366" w:rsidRDefault="008B7366">
      <w:pPr>
        <w:keepNext/>
      </w:pPr>
    </w:p>
    <w:p w14:paraId="5994ABCD" w14:textId="4E01A0B9" w:rsidR="008B7366" w:rsidRDefault="009866CA">
      <w:r>
        <w:t xml:space="preserve">Die Ausscheidung von </w:t>
      </w:r>
      <w:proofErr w:type="spellStart"/>
      <w:r>
        <w:t>Vaxchora</w:t>
      </w:r>
      <w:proofErr w:type="spellEnd"/>
      <w:r>
        <w:t xml:space="preserve"> über den Stuhl wurde über einen Zeitraum von 7 Tagen nach der Impfung untersucht und bei 11,3</w:t>
      </w:r>
      <w:r w:rsidR="00083EB8">
        <w:t> </w:t>
      </w:r>
      <w:r>
        <w:t>% der geimpften Personen beobachtet. Wie lange der Impfstamm ausgeschieden wird, ist nicht bekannt. Es besteht die Möglichkeit, dass der Impfstamm bei engem Kontakt (z. B. Leben im gleichen Haushalt) auf nicht geimpfte Personen übertragen wird.</w:t>
      </w:r>
    </w:p>
    <w:p w14:paraId="378FAB3E" w14:textId="77777777" w:rsidR="008B7366" w:rsidRDefault="008B7366"/>
    <w:p w14:paraId="1DA94636" w14:textId="77777777" w:rsidR="008B7366" w:rsidRDefault="009866CA">
      <w:pPr>
        <w:pStyle w:val="HeadingUnderlined"/>
      </w:pPr>
      <w:r>
        <w:lastRenderedPageBreak/>
        <w:t>Gleichzeitige Verabreichung mit Antibiotika und/oder Chloroquin</w:t>
      </w:r>
    </w:p>
    <w:p w14:paraId="01F7538C" w14:textId="77777777" w:rsidR="008B7366" w:rsidRDefault="008B7366">
      <w:pPr>
        <w:keepNext/>
      </w:pPr>
    </w:p>
    <w:p w14:paraId="084CD1BE" w14:textId="03E504D3" w:rsidR="008B7366" w:rsidRDefault="009866CA">
      <w:r>
        <w:t xml:space="preserve">Die gleichzeitige Verabreichung mit Antibiotika und/oder Chloroquin sollte vermieden werden, da sonst der Schutz gegen Cholera vermindert sein könnte </w:t>
      </w:r>
      <w:r w:rsidR="008A2FBB">
        <w:t>(s</w:t>
      </w:r>
      <w:r>
        <w:t>iehe Abschnitt 4.5</w:t>
      </w:r>
      <w:r w:rsidR="008A2FBB">
        <w:t>)</w:t>
      </w:r>
      <w:r>
        <w:t>.</w:t>
      </w:r>
    </w:p>
    <w:p w14:paraId="06171C21" w14:textId="77777777" w:rsidR="008B7366" w:rsidRDefault="008B7366"/>
    <w:p w14:paraId="3F9EC7A4" w14:textId="77777777" w:rsidR="008B7366" w:rsidRDefault="009866CA">
      <w:pPr>
        <w:pStyle w:val="HeadingUnderlined"/>
      </w:pPr>
      <w:r>
        <w:t>Erkrankungen des Gastrointestinaltrakts</w:t>
      </w:r>
    </w:p>
    <w:p w14:paraId="495DA8DC" w14:textId="77777777" w:rsidR="008B7366" w:rsidRDefault="008B7366">
      <w:pPr>
        <w:keepNext/>
      </w:pPr>
    </w:p>
    <w:p w14:paraId="2923E168" w14:textId="77777777" w:rsidR="008B7366" w:rsidRDefault="009866CA">
      <w:r>
        <w:t>Bei Personen mit akuter Gastroenteritis sollte die Impfung erst nach der Genesung erfolgen, da sonst der Schutz gegen Cholera vermindert sein könnte. Der Grad des Schutzes und die Wirkung des Impfstoffs bei Menschen mit chronischer gastrointestinaler Erkrankung sind nicht bekannt.</w:t>
      </w:r>
    </w:p>
    <w:p w14:paraId="608B1252" w14:textId="77777777" w:rsidR="008B7366" w:rsidRDefault="008B7366"/>
    <w:p w14:paraId="524AAED3" w14:textId="77777777" w:rsidR="008B7366" w:rsidRDefault="009866CA">
      <w:pPr>
        <w:pStyle w:val="HeadingUnderlined"/>
      </w:pPr>
      <w:r>
        <w:t>Einschränkungen der klinischen Daten</w:t>
      </w:r>
    </w:p>
    <w:p w14:paraId="1621C918" w14:textId="77777777" w:rsidR="008B7366" w:rsidRDefault="008B7366">
      <w:pPr>
        <w:keepNext/>
      </w:pPr>
    </w:p>
    <w:p w14:paraId="292C5B89" w14:textId="2C105DB0" w:rsidR="008B7366" w:rsidRDefault="009866CA">
      <w:r>
        <w:t xml:space="preserve">Es wurden klinische Studien mit Menschen von </w:t>
      </w:r>
      <w:r w:rsidR="00B346BA">
        <w:t>2</w:t>
      </w:r>
      <w:r>
        <w:t xml:space="preserve"> bis 64 Jahren durchgeführt. Die Wirksamkeit wurde in einer Cholera-Challenge-Studie am Menschen bei Erwachsenen im Alter von 18</w:t>
      </w:r>
      <w:r w:rsidR="008A2FBB">
        <w:noBreakHyphen/>
      </w:r>
      <w:r>
        <w:t>45 Jahren</w:t>
      </w:r>
      <w:r w:rsidR="00083EB8">
        <w:t> </w:t>
      </w:r>
      <w:r>
        <w:t>10 Tage bzw. 3 Monate nach der Impfung nachgewiesen. Im Rahmen der Studie wurde ein Immuno-</w:t>
      </w:r>
      <w:proofErr w:type="spellStart"/>
      <w:r>
        <w:t>Bridging</w:t>
      </w:r>
      <w:proofErr w:type="spellEnd"/>
      <w:r>
        <w:t xml:space="preserve"> für andere Populationen auf der Grundlage der </w:t>
      </w:r>
      <w:proofErr w:type="spellStart"/>
      <w:r>
        <w:t>Serokonversionsrate</w:t>
      </w:r>
      <w:proofErr w:type="spellEnd"/>
      <w:r>
        <w:t xml:space="preserve"> durchgeführt. </w:t>
      </w:r>
      <w:r w:rsidR="006E6014">
        <w:t>Es liegen Daten zur Immunogenität für einen Zeitraum von 24 Monaten nach der Impfung vor</w:t>
      </w:r>
      <w:r w:rsidR="00B346BA">
        <w:t xml:space="preserve"> (siehe Abschnitt 5.1)</w:t>
      </w:r>
      <w:r>
        <w:t>. Über Immunogenität und Wirksamkeit bei Menschen über 64 Jahren stehen keine Daten zur Verfügung.</w:t>
      </w:r>
    </w:p>
    <w:p w14:paraId="25C06AFE" w14:textId="77777777" w:rsidR="008B7366" w:rsidRDefault="008B7366"/>
    <w:p w14:paraId="61D54C0B" w14:textId="77777777" w:rsidR="008B7366" w:rsidRDefault="009866CA">
      <w:pPr>
        <w:pStyle w:val="HeadingUnderlined"/>
      </w:pPr>
      <w:r>
        <w:t>Sonstige Bestandteile</w:t>
      </w:r>
    </w:p>
    <w:p w14:paraId="4ED31D8F" w14:textId="77777777" w:rsidR="008B7366" w:rsidRDefault="008B7366">
      <w:pPr>
        <w:keepNext/>
      </w:pPr>
    </w:p>
    <w:p w14:paraId="2C4A8AFC" w14:textId="11FFEB7A" w:rsidR="00DE25A8" w:rsidRDefault="009866CA">
      <w:r>
        <w:t>Der Impfstoff enthält Lactose und S</w:t>
      </w:r>
      <w:r w:rsidR="00AC3A6F">
        <w:t>accharose</w:t>
      </w:r>
      <w:r>
        <w:t>.</w:t>
      </w:r>
      <w:r w:rsidR="00363CF4">
        <w:t xml:space="preserve"> </w:t>
      </w:r>
      <w:r w:rsidR="007F75BF" w:rsidRPr="007F75BF">
        <w:t xml:space="preserve">Patienten mit der seltenen hereditären Galactose-Intoleranz, völligem </w:t>
      </w:r>
      <w:proofErr w:type="spellStart"/>
      <w:r w:rsidR="007F75BF" w:rsidRPr="007F75BF">
        <w:t>Lactasemangel</w:t>
      </w:r>
      <w:proofErr w:type="spellEnd"/>
      <w:r w:rsidR="007F75BF" w:rsidRPr="007F75BF">
        <w:t xml:space="preserve"> oder Glucose-Galactose-Malabsorption sollten dieses Arzneimittel nicht anwenden.</w:t>
      </w:r>
    </w:p>
    <w:p w14:paraId="6CD564C4" w14:textId="77777777" w:rsidR="007F75BF" w:rsidRDefault="007F75BF"/>
    <w:p w14:paraId="43898439" w14:textId="48F6E423" w:rsidR="00DE25A8" w:rsidRDefault="00DE25A8">
      <w:r>
        <w:t>Der Impfstoff enthält Saccharose.</w:t>
      </w:r>
      <w:r w:rsidR="00AB68B6">
        <w:t xml:space="preserve"> </w:t>
      </w:r>
      <w:r w:rsidR="008F4966" w:rsidRPr="008F4966">
        <w:t xml:space="preserve">Patienten mit der seltenen hereditären Fructose-/Galactose-Intoleranz, einer Glucose-Galactose-Malabsorption oder einer </w:t>
      </w:r>
      <w:proofErr w:type="spellStart"/>
      <w:r w:rsidR="008F4966" w:rsidRPr="008F4966">
        <w:t>Sucrase</w:t>
      </w:r>
      <w:proofErr w:type="spellEnd"/>
      <w:r w:rsidR="008F4966" w:rsidRPr="008F4966">
        <w:t>-</w:t>
      </w:r>
      <w:proofErr w:type="spellStart"/>
      <w:r w:rsidR="008F4966" w:rsidRPr="008F4966">
        <w:t>Isomaltase</w:t>
      </w:r>
      <w:proofErr w:type="spellEnd"/>
      <w:r w:rsidR="008F4966" w:rsidRPr="008F4966">
        <w:t>-Insuffizienz sollten dieses Arzneimittel nicht anwenden.</w:t>
      </w:r>
    </w:p>
    <w:p w14:paraId="701FE961" w14:textId="77777777" w:rsidR="008B7366" w:rsidRDefault="008B7366"/>
    <w:p w14:paraId="13492B72" w14:textId="30434BFE" w:rsidR="008B7366" w:rsidRDefault="00060FA2">
      <w:r w:rsidRPr="00060FA2">
        <w:t>Diese</w:t>
      </w:r>
      <w:r w:rsidR="00636934">
        <w:t>r</w:t>
      </w:r>
      <w:r w:rsidRPr="00060FA2">
        <w:t xml:space="preserve"> </w:t>
      </w:r>
      <w:r w:rsidR="00636934">
        <w:t>Impfstoff</w:t>
      </w:r>
      <w:r w:rsidR="00636934" w:rsidRPr="00060FA2">
        <w:t xml:space="preserve"> </w:t>
      </w:r>
      <w:r w:rsidRPr="00060FA2">
        <w:t xml:space="preserve">enthält </w:t>
      </w:r>
      <w:r>
        <w:t>863 </w:t>
      </w:r>
      <w:r w:rsidRPr="00060FA2">
        <w:t>mg Natrium pro Dosi</w:t>
      </w:r>
      <w:r>
        <w:t>s</w:t>
      </w:r>
      <w:r w:rsidRPr="00060FA2">
        <w:t xml:space="preserve">, entsprechend </w:t>
      </w:r>
      <w:r>
        <w:t>43 </w:t>
      </w:r>
      <w:r w:rsidRPr="00060FA2">
        <w:t xml:space="preserve">% der von der WHO für einen </w:t>
      </w:r>
      <w:r w:rsidR="00680E61">
        <w:t xml:space="preserve">gesunden </w:t>
      </w:r>
      <w:r w:rsidRPr="00060FA2">
        <w:t>Erwachsenen empfohlenen maximalen täglichen Natriumaufnahme mit der Nahrung von 2</w:t>
      </w:r>
      <w:r>
        <w:t> </w:t>
      </w:r>
      <w:r w:rsidRPr="00060FA2">
        <w:t>g.</w:t>
      </w:r>
    </w:p>
    <w:p w14:paraId="79147BF8" w14:textId="77777777" w:rsidR="008B7366" w:rsidRDefault="008B7366"/>
    <w:p w14:paraId="21E4C4D8" w14:textId="77777777" w:rsidR="008B7366" w:rsidRDefault="009866CA">
      <w:pPr>
        <w:pStyle w:val="Heading2"/>
      </w:pPr>
      <w:r>
        <w:t>4.5</w:t>
      </w:r>
      <w:r>
        <w:tab/>
        <w:t>Wechselwirkungen mit anderen Arzneimitteln und sonstige Wechselwirkungen</w:t>
      </w:r>
    </w:p>
    <w:p w14:paraId="60604DBC" w14:textId="77777777" w:rsidR="008B7366" w:rsidRDefault="008B7366">
      <w:pPr>
        <w:keepNext/>
      </w:pPr>
    </w:p>
    <w:p w14:paraId="69931922" w14:textId="20C71C01" w:rsidR="008B7366" w:rsidRDefault="009866CA">
      <w:r>
        <w:t xml:space="preserve">Es wurden keine Studien zur Erfassung der Wechselwirkungen mit </w:t>
      </w:r>
      <w:proofErr w:type="spellStart"/>
      <w:r>
        <w:t>Vaxchora</w:t>
      </w:r>
      <w:proofErr w:type="spellEnd"/>
      <w:r>
        <w:t xml:space="preserve"> durchgeführt. Jedoch können Daten über andere Impfstoffe und die klinische Erfahrung mit anderen Impfstoffen auf </w:t>
      </w:r>
      <w:r w:rsidR="00BF4FDC">
        <w:t xml:space="preserve">diesen Impfstoff </w:t>
      </w:r>
      <w:r>
        <w:t>angewendet werden.</w:t>
      </w:r>
    </w:p>
    <w:p w14:paraId="4B382683" w14:textId="77777777" w:rsidR="008B7366" w:rsidRDefault="008B7366"/>
    <w:p w14:paraId="688F4C80" w14:textId="2072F64E" w:rsidR="00021EC7" w:rsidRPr="00363CF4" w:rsidRDefault="00021EC7" w:rsidP="00363CF4">
      <w:pPr>
        <w:keepNext/>
        <w:rPr>
          <w:i/>
          <w:iCs/>
        </w:rPr>
      </w:pPr>
      <w:r w:rsidRPr="00363CF4">
        <w:rPr>
          <w:i/>
          <w:iCs/>
        </w:rPr>
        <w:t>Schluckimpfung gegen Typhus</w:t>
      </w:r>
    </w:p>
    <w:p w14:paraId="7222250A" w14:textId="77777777" w:rsidR="00021EC7" w:rsidRDefault="00021EC7" w:rsidP="00363CF4">
      <w:pPr>
        <w:keepNext/>
      </w:pPr>
    </w:p>
    <w:p w14:paraId="442A3E6A" w14:textId="770EDAC6" w:rsidR="008B7366" w:rsidRDefault="009866CA">
      <w:r>
        <w:t xml:space="preserve">Zwischen der Verabreichung von </w:t>
      </w:r>
      <w:r w:rsidR="009F478B">
        <w:t xml:space="preserve">diesem Impfstoff </w:t>
      </w:r>
      <w:r>
        <w:t xml:space="preserve">und dem Typhusimpfstoff Ty21a (magensaftresistente Kapseln) müssen mindestens 2 Stunden liegen, da der mit </w:t>
      </w:r>
      <w:r w:rsidR="007F75DD">
        <w:t xml:space="preserve">diesem Impfstoff </w:t>
      </w:r>
      <w:r>
        <w:t>verabreichte Puffer den Transport der Kapseln durch den Magen-Darm-Trakt beeinflussen kann.</w:t>
      </w:r>
    </w:p>
    <w:p w14:paraId="23A945A5" w14:textId="77777777" w:rsidR="008B7366" w:rsidRDefault="008B7366"/>
    <w:p w14:paraId="4D43B365" w14:textId="63CEFD0D" w:rsidR="004B7CD4" w:rsidRPr="00363CF4" w:rsidRDefault="004B7CD4" w:rsidP="00363CF4">
      <w:pPr>
        <w:keepNext/>
        <w:rPr>
          <w:i/>
          <w:iCs/>
        </w:rPr>
      </w:pPr>
      <w:r w:rsidRPr="00363CF4">
        <w:rPr>
          <w:i/>
          <w:iCs/>
        </w:rPr>
        <w:t>Antibiotika</w:t>
      </w:r>
    </w:p>
    <w:p w14:paraId="41B6AEA2" w14:textId="77777777" w:rsidR="004B7CD4" w:rsidRDefault="004B7CD4" w:rsidP="00363CF4">
      <w:pPr>
        <w:keepNext/>
      </w:pPr>
    </w:p>
    <w:p w14:paraId="2FE19C51" w14:textId="73D5AAEF" w:rsidR="008B7366" w:rsidRDefault="009866CA">
      <w:r>
        <w:t xml:space="preserve">Die gleichzeitige Verabreichung </w:t>
      </w:r>
      <w:r w:rsidR="00160DE5">
        <w:t>dieses Impfstoffs</w:t>
      </w:r>
      <w:r>
        <w:t xml:space="preserve"> mit systemischen Antibiotika gegen </w:t>
      </w:r>
      <w:r>
        <w:rPr>
          <w:rStyle w:val="Emphasis"/>
        </w:rPr>
        <w:t>V</w:t>
      </w:r>
      <w:r w:rsidR="00160DE5">
        <w:rPr>
          <w:rStyle w:val="Emphasis"/>
        </w:rPr>
        <w:t>ibrio</w:t>
      </w:r>
      <w:r>
        <w:t> </w:t>
      </w:r>
      <w:r>
        <w:rPr>
          <w:rStyle w:val="Emphasis"/>
        </w:rPr>
        <w:t>cholerae</w:t>
      </w:r>
      <w:r>
        <w:t xml:space="preserve"> sollte vermieden werden, da diese Wirkstoffe möglicherweise einem ausreichenden </w:t>
      </w:r>
      <w:r w:rsidR="0083796A">
        <w:t>Replikation</w:t>
      </w:r>
      <w:r>
        <w:t xml:space="preserve">sgrad entgegenstehen, der für die Induktion einer schützenden Immunreaktion notwendig ist. </w:t>
      </w:r>
      <w:r w:rsidR="00E07759">
        <w:t xml:space="preserve">Dieser Impfstoff </w:t>
      </w:r>
      <w:r>
        <w:t xml:space="preserve">sollte nicht an Patienten verabreicht werden, die innerhalb von 14 Tagen vor der Impfung oral oder parenteral Antibiotika erhalten haben. Bis zu 10 Tage nach der Impfung mit </w:t>
      </w:r>
      <w:r w:rsidR="00E07759">
        <w:t xml:space="preserve">diesem Impfstoff </w:t>
      </w:r>
      <w:r>
        <w:t>sollten keine Antibiotika oral oder parenteral verabreicht werden.</w:t>
      </w:r>
    </w:p>
    <w:p w14:paraId="7D368CF0" w14:textId="77777777" w:rsidR="008B7366" w:rsidRDefault="008B7366"/>
    <w:p w14:paraId="3B8AB16A" w14:textId="2A760F00" w:rsidR="00BC28BC" w:rsidRPr="00363CF4" w:rsidRDefault="00BC28BC" w:rsidP="00363CF4">
      <w:pPr>
        <w:keepNext/>
        <w:rPr>
          <w:i/>
          <w:iCs/>
        </w:rPr>
      </w:pPr>
      <w:r>
        <w:rPr>
          <w:i/>
          <w:iCs/>
        </w:rPr>
        <w:lastRenderedPageBreak/>
        <w:t>Antim</w:t>
      </w:r>
      <w:r w:rsidRPr="00363CF4">
        <w:rPr>
          <w:i/>
          <w:iCs/>
        </w:rPr>
        <w:t>alaria</w:t>
      </w:r>
      <w:r>
        <w:rPr>
          <w:i/>
          <w:iCs/>
        </w:rPr>
        <w:t>-P</w:t>
      </w:r>
      <w:r w:rsidRPr="00363CF4">
        <w:rPr>
          <w:i/>
          <w:iCs/>
        </w:rPr>
        <w:t>rophylaxe</w:t>
      </w:r>
    </w:p>
    <w:p w14:paraId="324E8FCC" w14:textId="77777777" w:rsidR="00BC28BC" w:rsidRDefault="00BC28BC" w:rsidP="00363CF4">
      <w:pPr>
        <w:keepNext/>
      </w:pPr>
    </w:p>
    <w:p w14:paraId="30C9D843" w14:textId="43F0DB49" w:rsidR="008B7366" w:rsidRDefault="009866CA">
      <w:r>
        <w:t>Daten aus einer Studie zu einem früheren CVD 103-HgR-basierten Impfstoff weisen darauf</w:t>
      </w:r>
      <w:r w:rsidR="006E6014">
        <w:t xml:space="preserve"> </w:t>
      </w:r>
      <w:r>
        <w:t xml:space="preserve">hin, dass Immunreaktionen auf </w:t>
      </w:r>
      <w:proofErr w:type="spellStart"/>
      <w:r>
        <w:t>Vaxchora</w:t>
      </w:r>
      <w:proofErr w:type="spellEnd"/>
      <w:r>
        <w:t xml:space="preserve"> und der Schutz gegen Cholera </w:t>
      </w:r>
      <w:proofErr w:type="gramStart"/>
      <w:r>
        <w:t>vermindert</w:t>
      </w:r>
      <w:proofErr w:type="gramEnd"/>
      <w:r>
        <w:t xml:space="preserve"> sein können, wenn </w:t>
      </w:r>
      <w:r w:rsidR="00BC28BC">
        <w:t xml:space="preserve">dieser Impfstoff </w:t>
      </w:r>
      <w:r>
        <w:t xml:space="preserve">gleichzeitig mit Chloroquin verabreicht wird. </w:t>
      </w:r>
      <w:r w:rsidR="00BC28BC">
        <w:t xml:space="preserve">Dieser Impfstoff </w:t>
      </w:r>
      <w:r>
        <w:t xml:space="preserve">muss spätestens 10 Tage vor Beginn einer Antimalaria-Prophylaxe mit Chloroquin verabreicht werden. Es liegen keine Daten über die gleichzeitige Verwendung </w:t>
      </w:r>
      <w:proofErr w:type="gramStart"/>
      <w:r>
        <w:t xml:space="preserve">von </w:t>
      </w:r>
      <w:r w:rsidR="004F5917">
        <w:t>diesem Impfstoff</w:t>
      </w:r>
      <w:proofErr w:type="gramEnd"/>
      <w:r w:rsidR="004F5917">
        <w:t xml:space="preserve"> </w:t>
      </w:r>
      <w:r>
        <w:t>und anderen Antimalaria-Arzneimitteln vor.</w:t>
      </w:r>
    </w:p>
    <w:p w14:paraId="4A7A4C98" w14:textId="77777777" w:rsidR="008B7366" w:rsidRDefault="008B7366"/>
    <w:p w14:paraId="6FBDBE66" w14:textId="798479C4" w:rsidR="004F5917" w:rsidRPr="00363CF4" w:rsidRDefault="004F5917" w:rsidP="00363CF4">
      <w:pPr>
        <w:keepNext/>
        <w:rPr>
          <w:i/>
          <w:iCs/>
        </w:rPr>
      </w:pPr>
      <w:r w:rsidRPr="00363CF4">
        <w:rPr>
          <w:i/>
          <w:iCs/>
        </w:rPr>
        <w:t>Nahrungsmittel und Getränke</w:t>
      </w:r>
    </w:p>
    <w:p w14:paraId="63792726" w14:textId="77777777" w:rsidR="004F5917" w:rsidRDefault="004F5917" w:rsidP="00363CF4">
      <w:pPr>
        <w:keepNext/>
      </w:pPr>
    </w:p>
    <w:p w14:paraId="50D93D48" w14:textId="0A196A98" w:rsidR="008B7366" w:rsidRDefault="009866CA">
      <w:r>
        <w:t xml:space="preserve">Der Impfstoff ist säurelabil und wird mit einem Puffer verabreicht. 60 Minuten vor bis 60 Minuten nach der Einnahme von </w:t>
      </w:r>
      <w:r w:rsidR="003E3505">
        <w:t xml:space="preserve">diesem Impfstoff </w:t>
      </w:r>
      <w:r>
        <w:t>sollte auf den Verzehr von Nahrungsmitteln und Getränken verzichtet werden, da der schützende Effekt des Puffers sonst möglicherweise beeinträchtigt wird.</w:t>
      </w:r>
    </w:p>
    <w:p w14:paraId="3910D9BC" w14:textId="77777777" w:rsidR="008B7366" w:rsidRDefault="008B7366"/>
    <w:p w14:paraId="567DCE52" w14:textId="77777777" w:rsidR="008B7366" w:rsidRDefault="009866CA">
      <w:pPr>
        <w:pStyle w:val="Heading2"/>
      </w:pPr>
      <w:r>
        <w:t>4.6</w:t>
      </w:r>
      <w:r>
        <w:tab/>
        <w:t>Fertilität, Schwangerschaft und Stillzeit</w:t>
      </w:r>
    </w:p>
    <w:p w14:paraId="33611581" w14:textId="77777777" w:rsidR="008B7366" w:rsidRDefault="008B7366">
      <w:pPr>
        <w:keepNext/>
      </w:pPr>
    </w:p>
    <w:p w14:paraId="2E82B70D" w14:textId="77777777" w:rsidR="008B7366" w:rsidRDefault="009866CA">
      <w:pPr>
        <w:pStyle w:val="HeadingUnderlined"/>
      </w:pPr>
      <w:r>
        <w:t>Schwangerschaft</w:t>
      </w:r>
    </w:p>
    <w:p w14:paraId="67B5489C" w14:textId="77777777" w:rsidR="008B7366" w:rsidRDefault="008B7366">
      <w:pPr>
        <w:keepNext/>
      </w:pPr>
    </w:p>
    <w:p w14:paraId="30AF6F2D" w14:textId="0C1B125A" w:rsidR="008B7366" w:rsidRDefault="009866CA">
      <w:r>
        <w:t xml:space="preserve">Es liegen nur begrenzte </w:t>
      </w:r>
      <w:r w:rsidR="00363CF4">
        <w:t>Erfahrungen mit der</w:t>
      </w:r>
      <w:r>
        <w:t xml:space="preserve"> Anwendung von </w:t>
      </w:r>
      <w:proofErr w:type="spellStart"/>
      <w:r>
        <w:t>Vaxchora</w:t>
      </w:r>
      <w:proofErr w:type="spellEnd"/>
      <w:r>
        <w:t xml:space="preserve"> bei Schwangeren vor.</w:t>
      </w:r>
    </w:p>
    <w:p w14:paraId="5548D768" w14:textId="77777777" w:rsidR="008B7366" w:rsidRDefault="009866CA">
      <w:r>
        <w:t>Es liegen keine ausreichenden tierexperimentellen Studien in Bezug auf eine Reproduktionstoxizität vor (siehe Abschnitt 5.3).</w:t>
      </w:r>
    </w:p>
    <w:p w14:paraId="667C8440" w14:textId="059BC4F7" w:rsidR="008B7366" w:rsidRDefault="00556E58">
      <w:r>
        <w:t xml:space="preserve">Dieser Impfstoff </w:t>
      </w:r>
      <w:r w:rsidR="009866CA">
        <w:t>darf nur dann während einer Schwangerschaft angewendet werden, wenn der mögliche Nutzen für die Mutter die möglichen Risiken, wie z. B. für den Fötus, überwiegt.</w:t>
      </w:r>
    </w:p>
    <w:p w14:paraId="51EA726D" w14:textId="77777777" w:rsidR="008B7366" w:rsidRDefault="008B7366"/>
    <w:p w14:paraId="2A349E02" w14:textId="77777777" w:rsidR="008B7366" w:rsidRDefault="009866CA">
      <w:pPr>
        <w:pStyle w:val="HeadingUnderlined"/>
      </w:pPr>
      <w:r>
        <w:t>Stillzeit</w:t>
      </w:r>
    </w:p>
    <w:p w14:paraId="3F9E8779" w14:textId="77777777" w:rsidR="008B7366" w:rsidRDefault="008B7366">
      <w:pPr>
        <w:keepNext/>
      </w:pPr>
    </w:p>
    <w:p w14:paraId="3FBFF124" w14:textId="5D69B332" w:rsidR="008B7366" w:rsidRDefault="009866CA">
      <w:r>
        <w:t xml:space="preserve">Es ist nicht bekannt, ob </w:t>
      </w:r>
      <w:proofErr w:type="spellStart"/>
      <w:r>
        <w:t>Vaxchora</w:t>
      </w:r>
      <w:proofErr w:type="spellEnd"/>
      <w:r>
        <w:t xml:space="preserve"> in die Muttermilch übergeht. Ein Risiko für das gestillte Kind kann nicht ausgeschlossen werden. Es muss </w:t>
      </w:r>
      <w:r w:rsidR="00CB293D">
        <w:t>eine Entscheidung darüber getroffen werden</w:t>
      </w:r>
      <w:r w:rsidR="00363CF4">
        <w:t>,</w:t>
      </w:r>
      <w:r>
        <w:t xml:space="preserve"> ob</w:t>
      </w:r>
      <w:r w:rsidR="00363CF4">
        <w:t xml:space="preserve"> </w:t>
      </w:r>
      <w:r w:rsidR="00F20B64">
        <w:t>das Stillen zu unterbrechen ist oder ob</w:t>
      </w:r>
      <w:r w:rsidR="00363CF4">
        <w:t xml:space="preserve"> </w:t>
      </w:r>
      <w:r w:rsidR="00EF05EF">
        <w:t>auf die Anwendung von diesem Impfstoff verzichtet werden soll</w:t>
      </w:r>
      <w:r w:rsidR="00F20B64">
        <w:t>. Dabei ist sowohl</w:t>
      </w:r>
      <w:r>
        <w:t xml:space="preserve"> der Nutzen des Stillens für das Kind </w:t>
      </w:r>
      <w:r w:rsidR="00F20B64">
        <w:t>als auch</w:t>
      </w:r>
      <w:r>
        <w:t xml:space="preserve"> der Nutzen von </w:t>
      </w:r>
      <w:r w:rsidR="00556223">
        <w:t xml:space="preserve">dem Impfstoff </w:t>
      </w:r>
      <w:r>
        <w:t xml:space="preserve">für die </w:t>
      </w:r>
      <w:r w:rsidR="001F5328">
        <w:t xml:space="preserve">Frau zu </w:t>
      </w:r>
      <w:r>
        <w:t>berücksichtig</w:t>
      </w:r>
      <w:r w:rsidR="001F5328">
        <w:t>en</w:t>
      </w:r>
      <w:r>
        <w:t>.</w:t>
      </w:r>
    </w:p>
    <w:p w14:paraId="4192D728" w14:textId="77777777" w:rsidR="008B7366" w:rsidRDefault="008B7366"/>
    <w:p w14:paraId="3954F4A5" w14:textId="77777777" w:rsidR="008B7366" w:rsidRDefault="009866CA">
      <w:pPr>
        <w:pStyle w:val="HeadingUnderlined"/>
      </w:pPr>
      <w:r>
        <w:t>Fertilität</w:t>
      </w:r>
    </w:p>
    <w:p w14:paraId="0B3A32FD" w14:textId="77777777" w:rsidR="008B7366" w:rsidRDefault="008B7366">
      <w:pPr>
        <w:keepNext/>
      </w:pPr>
    </w:p>
    <w:p w14:paraId="52C2CD9B" w14:textId="77777777" w:rsidR="008B7366" w:rsidRDefault="009866CA">
      <w:r>
        <w:t xml:space="preserve">Es liegen keine </w:t>
      </w:r>
      <w:proofErr w:type="gramStart"/>
      <w:r w:rsidR="00D9269A">
        <w:t xml:space="preserve">von </w:t>
      </w:r>
      <w:r>
        <w:t>Mensch</w:t>
      </w:r>
      <w:proofErr w:type="gramEnd"/>
      <w:r>
        <w:t xml:space="preserve"> oder Tier gewonnenen Daten zur Wirkung von </w:t>
      </w:r>
      <w:proofErr w:type="spellStart"/>
      <w:r>
        <w:t>Vaxchora</w:t>
      </w:r>
      <w:proofErr w:type="spellEnd"/>
      <w:r>
        <w:t xml:space="preserve"> auf die Fertilität vor.</w:t>
      </w:r>
    </w:p>
    <w:p w14:paraId="165687E8" w14:textId="77777777" w:rsidR="008B7366" w:rsidRDefault="008B7366"/>
    <w:p w14:paraId="10A88588" w14:textId="77777777" w:rsidR="008B7366" w:rsidRDefault="009866CA">
      <w:pPr>
        <w:pStyle w:val="Heading2"/>
      </w:pPr>
      <w:r>
        <w:t>4.7</w:t>
      </w:r>
      <w:r>
        <w:tab/>
        <w:t>Auswirkungen auf die Verkehrstüchtigkeit und die Fähigkeit zum Bedienen von Maschinen</w:t>
      </w:r>
    </w:p>
    <w:p w14:paraId="2C17795D" w14:textId="77777777" w:rsidR="008B7366" w:rsidRDefault="008B7366">
      <w:pPr>
        <w:keepNext/>
      </w:pPr>
    </w:p>
    <w:p w14:paraId="1B97BF27" w14:textId="297FA04D" w:rsidR="008B7366" w:rsidRDefault="009866CA">
      <w:proofErr w:type="spellStart"/>
      <w:r>
        <w:t>Vaxchora</w:t>
      </w:r>
      <w:proofErr w:type="spellEnd"/>
      <w:r>
        <w:t xml:space="preserve"> hat keinen oder einen zu vernachlässigenden Einfluss auf die Verkehrstüchtigkeit und die Fähigkeit zum Bedienen von Maschinen.</w:t>
      </w:r>
      <w:r w:rsidR="00406353">
        <w:t xml:space="preserve"> </w:t>
      </w:r>
      <w:r w:rsidR="00406353" w:rsidRPr="00406353">
        <w:t>Einige der in Abschnitt</w:t>
      </w:r>
      <w:r w:rsidR="00406353">
        <w:t> </w:t>
      </w:r>
      <w:r w:rsidR="00406353" w:rsidRPr="00406353">
        <w:t>4.8 genannten Wirkungen</w:t>
      </w:r>
      <w:r w:rsidR="009A4471">
        <w:t xml:space="preserve"> (wie Ermüdung, </w:t>
      </w:r>
      <w:r w:rsidR="00FE75EB">
        <w:t>Schwindelgefühl)</w:t>
      </w:r>
      <w:r w:rsidR="00406353" w:rsidRPr="00406353">
        <w:t xml:space="preserve"> können jedoch vorübergehend die </w:t>
      </w:r>
      <w:r w:rsidR="008551E5">
        <w:t>Verkehrstüchtigkeit und die Fähigkeit zum Bedienen von Maschinen</w:t>
      </w:r>
      <w:r w:rsidR="00406353" w:rsidRPr="00406353">
        <w:t xml:space="preserve"> beeinträchtigen.</w:t>
      </w:r>
    </w:p>
    <w:p w14:paraId="278CF0E5" w14:textId="77777777" w:rsidR="008B7366" w:rsidRDefault="008B7366"/>
    <w:p w14:paraId="65023DBB" w14:textId="77777777" w:rsidR="008B7366" w:rsidRDefault="009866CA">
      <w:pPr>
        <w:pStyle w:val="Heading2"/>
      </w:pPr>
      <w:r>
        <w:t>4.8</w:t>
      </w:r>
      <w:r>
        <w:tab/>
        <w:t>Nebenwirkungen</w:t>
      </w:r>
    </w:p>
    <w:p w14:paraId="22072626" w14:textId="77777777" w:rsidR="008B7366" w:rsidRDefault="008B7366">
      <w:pPr>
        <w:keepNext/>
      </w:pPr>
    </w:p>
    <w:p w14:paraId="074F32E9" w14:textId="77777777" w:rsidR="008B7366" w:rsidRDefault="009866CA">
      <w:pPr>
        <w:pStyle w:val="HeadingUnderlined"/>
      </w:pPr>
      <w:r>
        <w:t>Zusammenfassung des Sicherheitsprofils</w:t>
      </w:r>
    </w:p>
    <w:p w14:paraId="0460C37B" w14:textId="77777777" w:rsidR="008B7366" w:rsidRDefault="008B7366">
      <w:pPr>
        <w:keepNext/>
      </w:pPr>
    </w:p>
    <w:p w14:paraId="0F37E6F4" w14:textId="02C5C5A7" w:rsidR="008B7366" w:rsidRDefault="009866CA">
      <w:r>
        <w:t xml:space="preserve">Die häufigsten Nebenwirkungen nach Verabreichung von </w:t>
      </w:r>
      <w:proofErr w:type="spellStart"/>
      <w:r>
        <w:t>Vaxchora</w:t>
      </w:r>
      <w:proofErr w:type="spellEnd"/>
      <w:r>
        <w:t xml:space="preserve"> sind </w:t>
      </w:r>
      <w:r w:rsidR="00057738">
        <w:t xml:space="preserve">Ermüdung </w:t>
      </w:r>
      <w:r>
        <w:t>(30,2</w:t>
      </w:r>
      <w:r w:rsidR="00181667">
        <w:t> </w:t>
      </w:r>
      <w:r>
        <w:t>%), Kopfschmerz (28,3</w:t>
      </w:r>
      <w:r w:rsidR="00181667">
        <w:t> </w:t>
      </w:r>
      <w:r>
        <w:t>%), Abdominalschmerz (18,4</w:t>
      </w:r>
      <w:r w:rsidR="00181667">
        <w:t> </w:t>
      </w:r>
      <w:r>
        <w:t>%), Übelkeit/Erbrechen (17,</w:t>
      </w:r>
      <w:r w:rsidR="00E65CF9">
        <w:t>9</w:t>
      </w:r>
      <w:r w:rsidR="004175EB">
        <w:t> </w:t>
      </w:r>
      <w:r>
        <w:t xml:space="preserve">%) und </w:t>
      </w:r>
      <w:r w:rsidR="007C5306">
        <w:t xml:space="preserve">verminderter </w:t>
      </w:r>
      <w:r>
        <w:t>Appetit (15,7</w:t>
      </w:r>
      <w:r w:rsidR="00181667">
        <w:t> </w:t>
      </w:r>
      <w:r>
        <w:t>%).</w:t>
      </w:r>
    </w:p>
    <w:p w14:paraId="6EA3EAFD" w14:textId="77777777" w:rsidR="008B7366" w:rsidRDefault="008B7366"/>
    <w:p w14:paraId="217AEFA3" w14:textId="77777777" w:rsidR="008B7366" w:rsidRDefault="009866CA">
      <w:pPr>
        <w:pStyle w:val="HeadingUnderlined"/>
      </w:pPr>
      <w:r>
        <w:t>Tabellarische Zusammenfassung der Nebenwirkungen</w:t>
      </w:r>
    </w:p>
    <w:p w14:paraId="04480048" w14:textId="783C4898" w:rsidR="008B7366" w:rsidRDefault="009866CA">
      <w:r>
        <w:t>Die Häufigkeit der Nebenwirkungen wurde wie folgt klassifiziert: Sehr häufig (≥ 1/10), häufig (≥ 1/100</w:t>
      </w:r>
      <w:r w:rsidR="00CA1311">
        <w:t>,</w:t>
      </w:r>
      <w:r>
        <w:t xml:space="preserve"> &lt; 1/10), gelegentlich (≥ 1/1</w:t>
      </w:r>
      <w:r w:rsidR="00CA1311">
        <w:t> </w:t>
      </w:r>
      <w:r>
        <w:t>000</w:t>
      </w:r>
      <w:r w:rsidR="00CA1311">
        <w:t>,</w:t>
      </w:r>
      <w:r>
        <w:t xml:space="preserve"> &lt; 1/100), selten (≥ 1/10</w:t>
      </w:r>
      <w:r w:rsidR="00CA1311">
        <w:t> </w:t>
      </w:r>
      <w:r>
        <w:t>000</w:t>
      </w:r>
      <w:r w:rsidR="00CA1311">
        <w:t>,</w:t>
      </w:r>
      <w:r>
        <w:t xml:space="preserve"> &lt; 1/1</w:t>
      </w:r>
      <w:r w:rsidR="008056C4">
        <w:t> </w:t>
      </w:r>
      <w:r>
        <w:t>000), sehr selten (&lt; 1/10</w:t>
      </w:r>
      <w:r w:rsidR="00CA1311">
        <w:t> </w:t>
      </w:r>
      <w:r>
        <w:t>000), nicht bekannt (Häufigkeit auf Grundlage der verfügbaren Daten nicht abschätzbar).</w:t>
      </w:r>
    </w:p>
    <w:p w14:paraId="593F893F" w14:textId="77777777" w:rsidR="008B7366" w:rsidRDefault="008B73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6"/>
        <w:gridCol w:w="1941"/>
      </w:tblGrid>
      <w:tr w:rsidR="008B7366" w14:paraId="524BCF31" w14:textId="77777777">
        <w:tc>
          <w:tcPr>
            <w:tcW w:w="7136" w:type="dxa"/>
            <w:shd w:val="clear" w:color="auto" w:fill="auto"/>
          </w:tcPr>
          <w:p w14:paraId="75810D7A" w14:textId="77777777" w:rsidR="008B7366" w:rsidRDefault="009866CA">
            <w:pPr>
              <w:keepNext/>
              <w:rPr>
                <w:rStyle w:val="Strong"/>
              </w:rPr>
            </w:pPr>
            <w:r>
              <w:rPr>
                <w:rStyle w:val="Strong"/>
              </w:rPr>
              <w:t>Nebenwirkungen</w:t>
            </w:r>
          </w:p>
        </w:tc>
        <w:tc>
          <w:tcPr>
            <w:tcW w:w="1941" w:type="dxa"/>
            <w:shd w:val="clear" w:color="auto" w:fill="auto"/>
          </w:tcPr>
          <w:p w14:paraId="72EEE81F" w14:textId="77777777" w:rsidR="008B7366" w:rsidRDefault="009866CA">
            <w:pPr>
              <w:rPr>
                <w:rStyle w:val="Strong"/>
              </w:rPr>
            </w:pPr>
            <w:r>
              <w:rPr>
                <w:rStyle w:val="Strong"/>
              </w:rPr>
              <w:t>Häufigkeit</w:t>
            </w:r>
          </w:p>
        </w:tc>
      </w:tr>
      <w:tr w:rsidR="008B7366" w14:paraId="796F9E59" w14:textId="77777777">
        <w:tc>
          <w:tcPr>
            <w:tcW w:w="9077" w:type="dxa"/>
            <w:gridSpan w:val="2"/>
            <w:shd w:val="clear" w:color="auto" w:fill="auto"/>
          </w:tcPr>
          <w:p w14:paraId="4158743A" w14:textId="77777777" w:rsidR="008B7366" w:rsidRDefault="009866CA">
            <w:pPr>
              <w:keepNext/>
              <w:rPr>
                <w:rStyle w:val="Emphasis"/>
              </w:rPr>
            </w:pPr>
            <w:r>
              <w:rPr>
                <w:rStyle w:val="Emphasis"/>
              </w:rPr>
              <w:t>Stoffwechsel- und Ernährungsstörungen</w:t>
            </w:r>
          </w:p>
        </w:tc>
      </w:tr>
      <w:tr w:rsidR="008B7366" w14:paraId="332E5136" w14:textId="77777777">
        <w:tc>
          <w:tcPr>
            <w:tcW w:w="7136" w:type="dxa"/>
            <w:shd w:val="clear" w:color="auto" w:fill="auto"/>
          </w:tcPr>
          <w:p w14:paraId="4A1AAEE6" w14:textId="77777777" w:rsidR="008B7366" w:rsidRDefault="009866CA">
            <w:pPr>
              <w:keepNext/>
            </w:pPr>
            <w:r>
              <w:t>Verminderter Appetit</w:t>
            </w:r>
          </w:p>
        </w:tc>
        <w:tc>
          <w:tcPr>
            <w:tcW w:w="1941" w:type="dxa"/>
            <w:shd w:val="clear" w:color="auto" w:fill="auto"/>
          </w:tcPr>
          <w:p w14:paraId="7CB47D0D" w14:textId="77777777" w:rsidR="008B7366" w:rsidRDefault="009866CA">
            <w:r>
              <w:t>Sehr häufig</w:t>
            </w:r>
          </w:p>
        </w:tc>
      </w:tr>
      <w:tr w:rsidR="008B7366" w14:paraId="5C968C97" w14:textId="77777777">
        <w:tc>
          <w:tcPr>
            <w:tcW w:w="9077" w:type="dxa"/>
            <w:gridSpan w:val="2"/>
            <w:shd w:val="clear" w:color="auto" w:fill="auto"/>
          </w:tcPr>
          <w:p w14:paraId="12EE5744" w14:textId="77777777" w:rsidR="008B7366" w:rsidRDefault="009866CA">
            <w:pPr>
              <w:keepNext/>
              <w:rPr>
                <w:rStyle w:val="Emphasis"/>
              </w:rPr>
            </w:pPr>
            <w:r>
              <w:rPr>
                <w:rStyle w:val="Emphasis"/>
              </w:rPr>
              <w:t>Erkrankungen des Nervensystems</w:t>
            </w:r>
          </w:p>
        </w:tc>
      </w:tr>
      <w:tr w:rsidR="008B7366" w14:paraId="01BFBBCC" w14:textId="77777777">
        <w:tc>
          <w:tcPr>
            <w:tcW w:w="7136" w:type="dxa"/>
            <w:shd w:val="clear" w:color="auto" w:fill="auto"/>
          </w:tcPr>
          <w:p w14:paraId="169C623C" w14:textId="77777777" w:rsidR="008B7366" w:rsidRDefault="009866CA">
            <w:pPr>
              <w:keepNext/>
            </w:pPr>
            <w:r>
              <w:t>Kopfschmerz</w:t>
            </w:r>
          </w:p>
        </w:tc>
        <w:tc>
          <w:tcPr>
            <w:tcW w:w="1941" w:type="dxa"/>
            <w:shd w:val="clear" w:color="auto" w:fill="auto"/>
          </w:tcPr>
          <w:p w14:paraId="0871686C" w14:textId="77777777" w:rsidR="008B7366" w:rsidRDefault="009866CA">
            <w:r>
              <w:t>Sehr häufig</w:t>
            </w:r>
          </w:p>
        </w:tc>
      </w:tr>
      <w:tr w:rsidR="008B7366" w14:paraId="48434663" w14:textId="77777777">
        <w:tc>
          <w:tcPr>
            <w:tcW w:w="7136" w:type="dxa"/>
            <w:shd w:val="clear" w:color="auto" w:fill="auto"/>
          </w:tcPr>
          <w:p w14:paraId="33943C4E" w14:textId="77777777" w:rsidR="008B7366" w:rsidRDefault="009866CA">
            <w:pPr>
              <w:keepNext/>
            </w:pPr>
            <w:r>
              <w:t>Schwindelgefühl</w:t>
            </w:r>
          </w:p>
        </w:tc>
        <w:tc>
          <w:tcPr>
            <w:tcW w:w="1941" w:type="dxa"/>
            <w:shd w:val="clear" w:color="auto" w:fill="auto"/>
          </w:tcPr>
          <w:p w14:paraId="58DA42D8" w14:textId="77777777" w:rsidR="008B7366" w:rsidRDefault="009866CA">
            <w:r>
              <w:t>Gelegentlich</w:t>
            </w:r>
          </w:p>
        </w:tc>
      </w:tr>
      <w:tr w:rsidR="008B7366" w14:paraId="34633A9A" w14:textId="77777777">
        <w:tc>
          <w:tcPr>
            <w:tcW w:w="9077" w:type="dxa"/>
            <w:gridSpan w:val="2"/>
            <w:shd w:val="clear" w:color="auto" w:fill="auto"/>
          </w:tcPr>
          <w:p w14:paraId="57F02FB6" w14:textId="77777777" w:rsidR="008B7366" w:rsidRDefault="009866CA">
            <w:pPr>
              <w:keepNext/>
              <w:rPr>
                <w:rStyle w:val="Emphasis"/>
              </w:rPr>
            </w:pPr>
            <w:r>
              <w:rPr>
                <w:rStyle w:val="Emphasis"/>
              </w:rPr>
              <w:t>Erkrankungen des Gastrointestinaltrakts</w:t>
            </w:r>
          </w:p>
        </w:tc>
      </w:tr>
      <w:tr w:rsidR="008B7366" w14:paraId="28439712" w14:textId="77777777">
        <w:tc>
          <w:tcPr>
            <w:tcW w:w="7136" w:type="dxa"/>
            <w:shd w:val="clear" w:color="auto" w:fill="auto"/>
          </w:tcPr>
          <w:p w14:paraId="5DCBE57C" w14:textId="77777777" w:rsidR="008B7366" w:rsidRDefault="009866CA">
            <w:pPr>
              <w:keepNext/>
            </w:pPr>
            <w:r>
              <w:t>Abdominalschmerz, Übelkeit/Erbrechen</w:t>
            </w:r>
          </w:p>
        </w:tc>
        <w:tc>
          <w:tcPr>
            <w:tcW w:w="1941" w:type="dxa"/>
            <w:shd w:val="clear" w:color="auto" w:fill="auto"/>
          </w:tcPr>
          <w:p w14:paraId="722FA115" w14:textId="77777777" w:rsidR="008B7366" w:rsidRDefault="009866CA">
            <w:r>
              <w:t>Sehr häufig</w:t>
            </w:r>
          </w:p>
        </w:tc>
      </w:tr>
      <w:tr w:rsidR="008B7366" w14:paraId="7F0475B4" w14:textId="77777777">
        <w:tc>
          <w:tcPr>
            <w:tcW w:w="7136" w:type="dxa"/>
            <w:shd w:val="clear" w:color="auto" w:fill="auto"/>
          </w:tcPr>
          <w:p w14:paraId="44074B81" w14:textId="77777777" w:rsidR="008B7366" w:rsidRDefault="009866CA">
            <w:pPr>
              <w:keepNext/>
            </w:pPr>
            <w:r>
              <w:t>Diarrhoe</w:t>
            </w:r>
          </w:p>
        </w:tc>
        <w:tc>
          <w:tcPr>
            <w:tcW w:w="1941" w:type="dxa"/>
            <w:shd w:val="clear" w:color="auto" w:fill="auto"/>
          </w:tcPr>
          <w:p w14:paraId="66E87604" w14:textId="77777777" w:rsidR="008B7366" w:rsidRDefault="009866CA">
            <w:r>
              <w:t>Häufig</w:t>
            </w:r>
          </w:p>
        </w:tc>
      </w:tr>
      <w:tr w:rsidR="008B7366" w14:paraId="7876AC9B" w14:textId="77777777">
        <w:tc>
          <w:tcPr>
            <w:tcW w:w="7136" w:type="dxa"/>
            <w:shd w:val="clear" w:color="auto" w:fill="auto"/>
          </w:tcPr>
          <w:p w14:paraId="69247D10" w14:textId="77777777" w:rsidR="008B7366" w:rsidRDefault="009866CA">
            <w:pPr>
              <w:keepNext/>
            </w:pPr>
            <w:r>
              <w:t>Flatulenz, Obstipation, Bauch aufgetrieben, Dyspepsie, Stuhlveränderung, Mundtrockenheit, Aufstoßen</w:t>
            </w:r>
          </w:p>
        </w:tc>
        <w:tc>
          <w:tcPr>
            <w:tcW w:w="1941" w:type="dxa"/>
            <w:shd w:val="clear" w:color="auto" w:fill="auto"/>
          </w:tcPr>
          <w:p w14:paraId="37DEC6A0" w14:textId="77777777" w:rsidR="008B7366" w:rsidRDefault="009866CA">
            <w:r>
              <w:t>Gelegentlich</w:t>
            </w:r>
          </w:p>
        </w:tc>
      </w:tr>
      <w:tr w:rsidR="008B7366" w14:paraId="5E2B500B" w14:textId="77777777">
        <w:tc>
          <w:tcPr>
            <w:tcW w:w="9077" w:type="dxa"/>
            <w:gridSpan w:val="2"/>
            <w:shd w:val="clear" w:color="auto" w:fill="auto"/>
          </w:tcPr>
          <w:p w14:paraId="7BC8B742" w14:textId="61BF0660" w:rsidR="008B7366" w:rsidRDefault="009866CA" w:rsidP="00651E51">
            <w:pPr>
              <w:keepNext/>
            </w:pPr>
            <w:r>
              <w:rPr>
                <w:rStyle w:val="Emphasis"/>
              </w:rPr>
              <w:t xml:space="preserve">Erkrankungen der Haut und des </w:t>
            </w:r>
            <w:r w:rsidR="00651E51">
              <w:rPr>
                <w:rStyle w:val="Emphasis"/>
              </w:rPr>
              <w:t>Unterhautgewebes</w:t>
            </w:r>
          </w:p>
        </w:tc>
      </w:tr>
      <w:tr w:rsidR="008B7366" w14:paraId="7E5B286D" w14:textId="77777777">
        <w:tc>
          <w:tcPr>
            <w:tcW w:w="7136" w:type="dxa"/>
            <w:shd w:val="clear" w:color="auto" w:fill="auto"/>
          </w:tcPr>
          <w:p w14:paraId="3EAA9395" w14:textId="77777777" w:rsidR="008B7366" w:rsidRDefault="009866CA">
            <w:pPr>
              <w:keepNext/>
            </w:pPr>
            <w:r>
              <w:t>Ausschlag</w:t>
            </w:r>
          </w:p>
        </w:tc>
        <w:tc>
          <w:tcPr>
            <w:tcW w:w="1941" w:type="dxa"/>
            <w:shd w:val="clear" w:color="auto" w:fill="auto"/>
          </w:tcPr>
          <w:p w14:paraId="30EC8FF3" w14:textId="77777777" w:rsidR="008B7366" w:rsidRDefault="009866CA">
            <w:r>
              <w:t>Gelegentlich</w:t>
            </w:r>
          </w:p>
        </w:tc>
      </w:tr>
      <w:tr w:rsidR="008B7366" w14:paraId="2A9CE703" w14:textId="77777777">
        <w:tc>
          <w:tcPr>
            <w:tcW w:w="9077" w:type="dxa"/>
            <w:gridSpan w:val="2"/>
            <w:shd w:val="clear" w:color="auto" w:fill="auto"/>
          </w:tcPr>
          <w:p w14:paraId="0A2AE4EC" w14:textId="77777777" w:rsidR="008B7366" w:rsidRDefault="009866CA">
            <w:pPr>
              <w:keepNext/>
              <w:rPr>
                <w:rStyle w:val="Emphasis"/>
              </w:rPr>
            </w:pPr>
            <w:r>
              <w:rPr>
                <w:rStyle w:val="Emphasis"/>
              </w:rPr>
              <w:t>Skelettmuskulatur-, Bindegewebs- und Knochenerkrankungen</w:t>
            </w:r>
          </w:p>
        </w:tc>
      </w:tr>
      <w:tr w:rsidR="008B7366" w14:paraId="00F96A87" w14:textId="77777777">
        <w:tc>
          <w:tcPr>
            <w:tcW w:w="7136" w:type="dxa"/>
            <w:shd w:val="clear" w:color="auto" w:fill="auto"/>
          </w:tcPr>
          <w:p w14:paraId="6057172F" w14:textId="77777777" w:rsidR="008B7366" w:rsidRDefault="009866CA">
            <w:pPr>
              <w:keepNext/>
            </w:pPr>
            <w:r>
              <w:t>Arthralgie</w:t>
            </w:r>
          </w:p>
        </w:tc>
        <w:tc>
          <w:tcPr>
            <w:tcW w:w="1941" w:type="dxa"/>
            <w:shd w:val="clear" w:color="auto" w:fill="auto"/>
          </w:tcPr>
          <w:p w14:paraId="08214FA7" w14:textId="77777777" w:rsidR="008B7366" w:rsidRDefault="009866CA">
            <w:r>
              <w:t>Gelegentlich</w:t>
            </w:r>
          </w:p>
        </w:tc>
      </w:tr>
      <w:tr w:rsidR="008B7366" w14:paraId="766159C3" w14:textId="77777777">
        <w:tc>
          <w:tcPr>
            <w:tcW w:w="7136" w:type="dxa"/>
            <w:shd w:val="clear" w:color="auto" w:fill="auto"/>
          </w:tcPr>
          <w:p w14:paraId="7B785AA3" w14:textId="77777777" w:rsidR="008B7366" w:rsidRDefault="009866CA">
            <w:pPr>
              <w:keepNext/>
            </w:pPr>
            <w:r>
              <w:t>Schüttelfrost</w:t>
            </w:r>
          </w:p>
        </w:tc>
        <w:tc>
          <w:tcPr>
            <w:tcW w:w="1941" w:type="dxa"/>
            <w:shd w:val="clear" w:color="auto" w:fill="auto"/>
          </w:tcPr>
          <w:p w14:paraId="533A15C0" w14:textId="77777777" w:rsidR="008B7366" w:rsidRDefault="009866CA">
            <w:r>
              <w:t>Selten</w:t>
            </w:r>
          </w:p>
        </w:tc>
      </w:tr>
      <w:tr w:rsidR="008B7366" w14:paraId="74F3B9D8" w14:textId="77777777">
        <w:tc>
          <w:tcPr>
            <w:tcW w:w="9077" w:type="dxa"/>
            <w:gridSpan w:val="2"/>
            <w:shd w:val="clear" w:color="auto" w:fill="auto"/>
          </w:tcPr>
          <w:p w14:paraId="0FBD8714" w14:textId="77777777" w:rsidR="008B7366" w:rsidRDefault="009866CA">
            <w:pPr>
              <w:keepNext/>
              <w:rPr>
                <w:rStyle w:val="Emphasis"/>
              </w:rPr>
            </w:pPr>
            <w:r>
              <w:rPr>
                <w:rStyle w:val="Emphasis"/>
              </w:rPr>
              <w:t>Allgemeine Erkrankungen und Beschwerden am Verabreichungsort</w:t>
            </w:r>
          </w:p>
        </w:tc>
      </w:tr>
      <w:tr w:rsidR="008B7366" w14:paraId="2B4BD583" w14:textId="77777777">
        <w:tc>
          <w:tcPr>
            <w:tcW w:w="7136" w:type="dxa"/>
            <w:shd w:val="clear" w:color="auto" w:fill="auto"/>
          </w:tcPr>
          <w:p w14:paraId="452D7A6C" w14:textId="77777777" w:rsidR="008B7366" w:rsidRDefault="009866CA">
            <w:pPr>
              <w:keepNext/>
            </w:pPr>
            <w:r>
              <w:t>Ermüdung</w:t>
            </w:r>
          </w:p>
        </w:tc>
        <w:tc>
          <w:tcPr>
            <w:tcW w:w="1941" w:type="dxa"/>
            <w:shd w:val="clear" w:color="auto" w:fill="auto"/>
          </w:tcPr>
          <w:p w14:paraId="7CBE4AE3" w14:textId="77777777" w:rsidR="008B7366" w:rsidRDefault="009866CA">
            <w:r>
              <w:t>Sehr häufig</w:t>
            </w:r>
          </w:p>
        </w:tc>
      </w:tr>
      <w:tr w:rsidR="008B7366" w14:paraId="07186A4B" w14:textId="77777777">
        <w:tc>
          <w:tcPr>
            <w:tcW w:w="7136" w:type="dxa"/>
            <w:shd w:val="clear" w:color="auto" w:fill="auto"/>
          </w:tcPr>
          <w:p w14:paraId="174ABD90" w14:textId="77777777" w:rsidR="008B7366" w:rsidRDefault="009866CA">
            <w:r>
              <w:t>Fieber</w:t>
            </w:r>
          </w:p>
        </w:tc>
        <w:tc>
          <w:tcPr>
            <w:tcW w:w="1941" w:type="dxa"/>
            <w:shd w:val="clear" w:color="auto" w:fill="auto"/>
          </w:tcPr>
          <w:p w14:paraId="2956EEEB" w14:textId="77777777" w:rsidR="008B7366" w:rsidRDefault="009866CA">
            <w:r>
              <w:t>Gelegentlich</w:t>
            </w:r>
          </w:p>
        </w:tc>
      </w:tr>
    </w:tbl>
    <w:p w14:paraId="4EB26635" w14:textId="77777777" w:rsidR="008B7366" w:rsidRDefault="008B7366"/>
    <w:p w14:paraId="2D07EA7A" w14:textId="77777777" w:rsidR="008B7366" w:rsidRDefault="009866CA">
      <w:pPr>
        <w:pStyle w:val="HeadingUnderlined"/>
      </w:pPr>
      <w:r>
        <w:t>Kinder und Jugendliche</w:t>
      </w:r>
    </w:p>
    <w:p w14:paraId="23BB2164" w14:textId="3BB9E083" w:rsidR="008B7366" w:rsidRDefault="009866CA">
      <w:r>
        <w:t xml:space="preserve">Es wurde eine klinische Studie mit </w:t>
      </w:r>
      <w:r w:rsidR="00B346BA">
        <w:t>550</w:t>
      </w:r>
      <w:r w:rsidR="009816DD">
        <w:t> </w:t>
      </w:r>
      <w:r>
        <w:t xml:space="preserve">Kindern im Alter von </w:t>
      </w:r>
      <w:r w:rsidR="00B346BA">
        <w:t>2</w:t>
      </w:r>
      <w:r>
        <w:t xml:space="preserve"> bis &lt; 18 Jahren durchgeführt. Auf der Grundlage der Ergebnisse dieser Studie ist die Art der Nebenwirkungen bei Kindern und Jugendlichen voraussichtlich vergleichbar mit der Art der Nebenwirkungen bei Erwachsenen. Manche Nebenwirkungen traten bei Kindern und Jugendlichen häufiger auf als bei Erwachsenen, darunter Ermüdung (3</w:t>
      </w:r>
      <w:r w:rsidR="00B346BA">
        <w:t>5</w:t>
      </w:r>
      <w:r>
        <w:t>,</w:t>
      </w:r>
      <w:r w:rsidR="00B346BA">
        <w:t>7</w:t>
      </w:r>
      <w:r w:rsidR="00982B6B">
        <w:t> </w:t>
      </w:r>
      <w:r>
        <w:t xml:space="preserve">% </w:t>
      </w:r>
      <w:r w:rsidR="00D710B9">
        <w:t>vs</w:t>
      </w:r>
      <w:r>
        <w:t>. 30,2</w:t>
      </w:r>
      <w:r w:rsidR="00181667">
        <w:t> </w:t>
      </w:r>
      <w:r>
        <w:t>%), Abdominalschmerz (2</w:t>
      </w:r>
      <w:r w:rsidR="00B346BA">
        <w:t>7</w:t>
      </w:r>
      <w:r>
        <w:t>,</w:t>
      </w:r>
      <w:r w:rsidR="00B346BA">
        <w:t>8</w:t>
      </w:r>
      <w:r w:rsidR="00982B6B">
        <w:t> </w:t>
      </w:r>
      <w:r>
        <w:t xml:space="preserve">% </w:t>
      </w:r>
      <w:r w:rsidR="00D710B9">
        <w:t>vs</w:t>
      </w:r>
      <w:r>
        <w:t>. 18,4</w:t>
      </w:r>
      <w:r w:rsidR="00181667">
        <w:t> </w:t>
      </w:r>
      <w:r>
        <w:t>%), Erbrechen (3</w:t>
      </w:r>
      <w:r w:rsidR="00B346BA">
        <w:t>,8</w:t>
      </w:r>
      <w:r w:rsidR="00982B6B">
        <w:t> </w:t>
      </w:r>
      <w:r>
        <w:t>% vs. 0,2</w:t>
      </w:r>
      <w:r w:rsidR="00982B6B">
        <w:t> </w:t>
      </w:r>
      <w:r>
        <w:t>%), verminderter Appetit (2</w:t>
      </w:r>
      <w:r w:rsidR="00B346BA">
        <w:t>1</w:t>
      </w:r>
      <w:r>
        <w:t>,4</w:t>
      </w:r>
      <w:r w:rsidR="00982B6B">
        <w:t> </w:t>
      </w:r>
      <w:r>
        <w:t xml:space="preserve">% </w:t>
      </w:r>
      <w:r w:rsidR="00D710B9">
        <w:t>vs</w:t>
      </w:r>
      <w:r>
        <w:t>. 15,7</w:t>
      </w:r>
      <w:r w:rsidR="00181667">
        <w:t> </w:t>
      </w:r>
      <w:r>
        <w:t>%) und Fieber (2,</w:t>
      </w:r>
      <w:r w:rsidR="00B346BA">
        <w:t>4</w:t>
      </w:r>
      <w:r w:rsidR="009F68A0">
        <w:t> </w:t>
      </w:r>
      <w:r>
        <w:t xml:space="preserve">% </w:t>
      </w:r>
      <w:r w:rsidR="00D710B9">
        <w:t>vs</w:t>
      </w:r>
      <w:r>
        <w:t>. 0,8</w:t>
      </w:r>
      <w:r w:rsidR="00181667">
        <w:t> </w:t>
      </w:r>
      <w:r>
        <w:t>%).</w:t>
      </w:r>
    </w:p>
    <w:p w14:paraId="5CFCAF5A" w14:textId="77777777" w:rsidR="008B7366" w:rsidRDefault="008B7366"/>
    <w:p w14:paraId="64DFE81C" w14:textId="77777777" w:rsidR="008B7366" w:rsidRDefault="009866CA">
      <w:pPr>
        <w:pStyle w:val="HeadingUnderlined"/>
      </w:pPr>
      <w:r>
        <w:t>Meldung des Verdachts auf Nebenwirkungen</w:t>
      </w:r>
    </w:p>
    <w:p w14:paraId="7CD860E5" w14:textId="510FA022" w:rsidR="008B7366" w:rsidRDefault="009866CA">
      <w: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w:t>
      </w:r>
      <w:r w:rsidR="00A07F52" w:rsidRPr="00116536">
        <w:t>(nähere Angaben siehe unten)</w:t>
      </w:r>
      <w:r>
        <w:t xml:space="preserve"> anzuzeigen.</w:t>
      </w:r>
    </w:p>
    <w:p w14:paraId="295CAE4D" w14:textId="77777777" w:rsidR="00A07F52" w:rsidRDefault="00A07F52"/>
    <w:p w14:paraId="716A44C8" w14:textId="77777777" w:rsidR="00A07F52" w:rsidRPr="00A07F52" w:rsidRDefault="00A07F52" w:rsidP="00A07F52">
      <w:pPr>
        <w:rPr>
          <w:lang w:val="de-CH"/>
        </w:rPr>
      </w:pPr>
      <w:r w:rsidRPr="00A07F52">
        <w:rPr>
          <w:b/>
          <w:bCs/>
          <w:lang w:val="de-CH"/>
        </w:rPr>
        <w:t>Deutschland</w:t>
      </w:r>
    </w:p>
    <w:p w14:paraId="14DD9FF9" w14:textId="77777777" w:rsidR="00A07F52" w:rsidRPr="00A07F52" w:rsidRDefault="00A07F52" w:rsidP="00A07F52">
      <w:pPr>
        <w:rPr>
          <w:lang w:val="de-CH"/>
        </w:rPr>
      </w:pPr>
      <w:r w:rsidRPr="00A07F52">
        <w:rPr>
          <w:lang w:val="de-CH"/>
        </w:rPr>
        <w:t>Bundesinstitut für Impfstoffe und biomedizinische Arzneimittel</w:t>
      </w:r>
    </w:p>
    <w:p w14:paraId="154EDBEA" w14:textId="77777777" w:rsidR="00A07F52" w:rsidRPr="00A07F52" w:rsidRDefault="00A07F52" w:rsidP="00A07F52">
      <w:pPr>
        <w:rPr>
          <w:lang w:val="de-CH"/>
        </w:rPr>
      </w:pPr>
      <w:r w:rsidRPr="00A07F52">
        <w:rPr>
          <w:lang w:val="de-CH"/>
        </w:rPr>
        <w:t>Paul-Ehrlich-Institut</w:t>
      </w:r>
    </w:p>
    <w:p w14:paraId="0D576C4A" w14:textId="77777777" w:rsidR="00A07F52" w:rsidRPr="00A07F52" w:rsidRDefault="00A07F52" w:rsidP="00A07F52">
      <w:pPr>
        <w:rPr>
          <w:lang w:val="de-CH"/>
        </w:rPr>
      </w:pPr>
      <w:r w:rsidRPr="00A07F52">
        <w:rPr>
          <w:lang w:val="de-CH"/>
        </w:rPr>
        <w:t>Paul-Ehrlich-Str. 51-59</w:t>
      </w:r>
    </w:p>
    <w:p w14:paraId="6DE202E9" w14:textId="77777777" w:rsidR="00A07F52" w:rsidRPr="00A07F52" w:rsidRDefault="00A07F52" w:rsidP="00A07F52">
      <w:pPr>
        <w:rPr>
          <w:lang w:val="de-CH"/>
        </w:rPr>
      </w:pPr>
      <w:r w:rsidRPr="00A07F52">
        <w:rPr>
          <w:lang w:val="de-CH"/>
        </w:rPr>
        <w:t>63225 Langen</w:t>
      </w:r>
    </w:p>
    <w:p w14:paraId="12968F0C" w14:textId="77777777" w:rsidR="00A07F52" w:rsidRPr="00A07F52" w:rsidRDefault="00A07F52" w:rsidP="00A07F52">
      <w:pPr>
        <w:rPr>
          <w:lang w:val="de-CH"/>
        </w:rPr>
      </w:pPr>
      <w:r w:rsidRPr="00A07F52">
        <w:rPr>
          <w:lang w:val="de-CH"/>
        </w:rPr>
        <w:t>Tel: +49 6103 77 0</w:t>
      </w:r>
    </w:p>
    <w:p w14:paraId="34FA7024" w14:textId="77777777" w:rsidR="00A07F52" w:rsidRPr="00A07F52" w:rsidRDefault="00A07F52" w:rsidP="00A07F52">
      <w:pPr>
        <w:rPr>
          <w:lang w:val="de-CH"/>
        </w:rPr>
      </w:pPr>
      <w:r w:rsidRPr="00A07F52">
        <w:rPr>
          <w:lang w:val="de-CH"/>
        </w:rPr>
        <w:t>Fax: +49 6103 77 1234</w:t>
      </w:r>
    </w:p>
    <w:p w14:paraId="2F03D0D6" w14:textId="019C19C3" w:rsidR="00A07F52" w:rsidRDefault="00A07F52" w:rsidP="00A07F52">
      <w:pPr>
        <w:rPr>
          <w:lang w:val="de-CH"/>
        </w:rPr>
      </w:pPr>
      <w:r w:rsidRPr="00A07F52">
        <w:rPr>
          <w:lang w:val="de-CH"/>
        </w:rPr>
        <w:t xml:space="preserve">Website: </w:t>
      </w:r>
      <w:hyperlink r:id="rId11" w:history="1">
        <w:r w:rsidRPr="00A07F52">
          <w:rPr>
            <w:rStyle w:val="Hyperlink"/>
            <w:lang w:val="de-CH"/>
          </w:rPr>
          <w:t>www.pei.de</w:t>
        </w:r>
      </w:hyperlink>
    </w:p>
    <w:p w14:paraId="5D58CB67" w14:textId="77777777" w:rsidR="00A07F52" w:rsidRPr="00A07F52" w:rsidRDefault="00A07F52" w:rsidP="00A07F52">
      <w:pPr>
        <w:rPr>
          <w:lang w:val="de-CH"/>
        </w:rPr>
      </w:pPr>
    </w:p>
    <w:p w14:paraId="406F627B" w14:textId="77777777" w:rsidR="00A07F52" w:rsidRPr="00A07F52" w:rsidRDefault="00A07F52" w:rsidP="00A07F52">
      <w:pPr>
        <w:rPr>
          <w:lang w:val="de-CH"/>
        </w:rPr>
      </w:pPr>
      <w:r w:rsidRPr="00A07F52">
        <w:rPr>
          <w:b/>
          <w:bCs/>
          <w:lang w:val="de-CH"/>
        </w:rPr>
        <w:t>Österreich</w:t>
      </w:r>
    </w:p>
    <w:p w14:paraId="0C21E021" w14:textId="77777777" w:rsidR="00A07F52" w:rsidRPr="00A07F52" w:rsidRDefault="00A07F52" w:rsidP="00A07F52">
      <w:pPr>
        <w:rPr>
          <w:lang w:val="de-CH"/>
        </w:rPr>
      </w:pPr>
      <w:r w:rsidRPr="00A07F52">
        <w:rPr>
          <w:lang w:val="de-CH"/>
        </w:rPr>
        <w:t>Bundesamt für Sicherheit im Gesundheitswesen</w:t>
      </w:r>
    </w:p>
    <w:p w14:paraId="0AA0047E" w14:textId="77777777" w:rsidR="00A07F52" w:rsidRPr="00A07F52" w:rsidRDefault="00A07F52" w:rsidP="00A07F52">
      <w:pPr>
        <w:rPr>
          <w:lang w:val="de-CH"/>
        </w:rPr>
      </w:pPr>
      <w:proofErr w:type="spellStart"/>
      <w:r w:rsidRPr="00A07F52">
        <w:rPr>
          <w:lang w:val="de-CH"/>
        </w:rPr>
        <w:t>Traisengasse</w:t>
      </w:r>
      <w:proofErr w:type="spellEnd"/>
      <w:r w:rsidRPr="00A07F52">
        <w:rPr>
          <w:lang w:val="de-CH"/>
        </w:rPr>
        <w:t xml:space="preserve"> 5</w:t>
      </w:r>
    </w:p>
    <w:p w14:paraId="37D91996" w14:textId="77777777" w:rsidR="00A07F52" w:rsidRPr="00A07F52" w:rsidRDefault="00A07F52" w:rsidP="00A07F52">
      <w:pPr>
        <w:rPr>
          <w:lang w:val="de-CH"/>
        </w:rPr>
      </w:pPr>
      <w:r w:rsidRPr="00A07F52">
        <w:rPr>
          <w:lang w:val="de-CH"/>
        </w:rPr>
        <w:t>1200 WIEN</w:t>
      </w:r>
    </w:p>
    <w:p w14:paraId="1EB751BB" w14:textId="77777777" w:rsidR="00A07F52" w:rsidRPr="00A07F52" w:rsidRDefault="00A07F52" w:rsidP="00A07F52">
      <w:pPr>
        <w:rPr>
          <w:lang w:val="de-CH"/>
        </w:rPr>
      </w:pPr>
      <w:r w:rsidRPr="00A07F52">
        <w:rPr>
          <w:lang w:val="de-CH"/>
        </w:rPr>
        <w:t>ÖSTERREICH</w:t>
      </w:r>
    </w:p>
    <w:p w14:paraId="79C73C49" w14:textId="77777777" w:rsidR="00A07F52" w:rsidRPr="00A07F52" w:rsidRDefault="00A07F52" w:rsidP="00A07F52">
      <w:pPr>
        <w:rPr>
          <w:lang w:val="de-CH"/>
        </w:rPr>
      </w:pPr>
      <w:r w:rsidRPr="00A07F52">
        <w:rPr>
          <w:lang w:val="de-CH"/>
        </w:rPr>
        <w:t>Fax: + 43 (0) 50 555 36207</w:t>
      </w:r>
    </w:p>
    <w:p w14:paraId="482E66AB" w14:textId="4BA83163" w:rsidR="00A07F52" w:rsidRPr="00A07F52" w:rsidRDefault="00A07F52">
      <w:pPr>
        <w:rPr>
          <w:lang w:val="de-CH"/>
        </w:rPr>
      </w:pPr>
      <w:r w:rsidRPr="00A07F52">
        <w:rPr>
          <w:lang w:val="de-CH"/>
        </w:rPr>
        <w:t xml:space="preserve">Website: </w:t>
      </w:r>
      <w:hyperlink r:id="rId12" w:history="1">
        <w:r w:rsidRPr="00A07F52">
          <w:rPr>
            <w:rStyle w:val="Hyperlink"/>
            <w:lang w:val="de-CH"/>
          </w:rPr>
          <w:t>http://www.basg.gv.at/</w:t>
        </w:r>
      </w:hyperlink>
    </w:p>
    <w:p w14:paraId="140A3285" w14:textId="77777777" w:rsidR="008B7366" w:rsidRDefault="008B7366"/>
    <w:p w14:paraId="6640DF92" w14:textId="77777777" w:rsidR="008B7366" w:rsidRDefault="009866CA">
      <w:pPr>
        <w:pStyle w:val="Heading2"/>
      </w:pPr>
      <w:r>
        <w:lastRenderedPageBreak/>
        <w:t>4.9</w:t>
      </w:r>
      <w:r>
        <w:tab/>
        <w:t>Überdosierung</w:t>
      </w:r>
    </w:p>
    <w:p w14:paraId="61CDDA46" w14:textId="77777777" w:rsidR="008B7366" w:rsidRDefault="008B7366">
      <w:pPr>
        <w:keepNext/>
      </w:pPr>
    </w:p>
    <w:p w14:paraId="313BA166" w14:textId="77777777" w:rsidR="008B7366" w:rsidRDefault="009866CA">
      <w:r>
        <w:t xml:space="preserve">Es wurde berichtet, dass mehrere Dosen </w:t>
      </w:r>
      <w:proofErr w:type="spellStart"/>
      <w:r>
        <w:t>Vaxchora</w:t>
      </w:r>
      <w:proofErr w:type="spellEnd"/>
      <w:r>
        <w:t xml:space="preserve"> in einem Abstand von mehreren Wochen verabreicht wurden. Die berichteten Nebenwirkungen </w:t>
      </w:r>
      <w:proofErr w:type="gramStart"/>
      <w:r w:rsidR="00AF23B1">
        <w:t>sind</w:t>
      </w:r>
      <w:proofErr w:type="gramEnd"/>
      <w:r w:rsidR="00AF23B1">
        <w:t xml:space="preserve"> </w:t>
      </w:r>
      <w:r>
        <w:t>mit denen nach empfohlener Dosis beobachteten Nebenwirkungen vergleichbar.</w:t>
      </w:r>
    </w:p>
    <w:p w14:paraId="57AB8418" w14:textId="77777777" w:rsidR="008B7366" w:rsidRDefault="008B7366"/>
    <w:p w14:paraId="69F775D7" w14:textId="77777777" w:rsidR="008B7366" w:rsidRDefault="008B7366"/>
    <w:p w14:paraId="5570B33D" w14:textId="77777777" w:rsidR="008B7366" w:rsidRDefault="009866CA">
      <w:pPr>
        <w:pStyle w:val="Heading1"/>
      </w:pPr>
      <w:r>
        <w:t>5.</w:t>
      </w:r>
      <w:r>
        <w:tab/>
        <w:t>PHARMAKOLOGISCHE EIGENSCHAFTEN</w:t>
      </w:r>
    </w:p>
    <w:p w14:paraId="5F9907D8" w14:textId="77777777" w:rsidR="008B7366" w:rsidRDefault="008B7366">
      <w:pPr>
        <w:keepNext/>
      </w:pPr>
    </w:p>
    <w:p w14:paraId="0CCEDDC3" w14:textId="77777777" w:rsidR="008B7366" w:rsidRDefault="009866CA">
      <w:pPr>
        <w:pStyle w:val="Heading2"/>
      </w:pPr>
      <w:r>
        <w:t>5.1</w:t>
      </w:r>
      <w:r>
        <w:tab/>
        <w:t>Pharmakodynamische Eigenschaften</w:t>
      </w:r>
    </w:p>
    <w:p w14:paraId="771E31B7" w14:textId="77777777" w:rsidR="008B7366" w:rsidRDefault="008B7366">
      <w:pPr>
        <w:keepNext/>
      </w:pPr>
    </w:p>
    <w:p w14:paraId="5C663C4E" w14:textId="464456AF" w:rsidR="008B7366" w:rsidRDefault="009866CA">
      <w:r>
        <w:t xml:space="preserve">Pharmakotherapeutische Gruppe: </w:t>
      </w:r>
      <w:r w:rsidR="001C6802">
        <w:t xml:space="preserve">Impfstoffe, </w:t>
      </w:r>
      <w:r w:rsidR="002961BE">
        <w:t>Cholera-</w:t>
      </w:r>
      <w:r>
        <w:t>Impfstoffe, ATC-Code: J07AE02</w:t>
      </w:r>
    </w:p>
    <w:p w14:paraId="59245BDE" w14:textId="77777777" w:rsidR="008B7366" w:rsidRDefault="008B7366"/>
    <w:p w14:paraId="62E54430" w14:textId="77777777" w:rsidR="008B7366" w:rsidRDefault="009866CA">
      <w:pPr>
        <w:pStyle w:val="HeadingUnderlined"/>
      </w:pPr>
      <w:r>
        <w:t>Wirkmechanismus</w:t>
      </w:r>
    </w:p>
    <w:p w14:paraId="1075DEE6" w14:textId="74864A3D" w:rsidR="008B7366" w:rsidRDefault="009866CA">
      <w:proofErr w:type="spellStart"/>
      <w:r>
        <w:t>Vaxchora</w:t>
      </w:r>
      <w:proofErr w:type="spellEnd"/>
      <w:r>
        <w:t xml:space="preserve"> enthält lebende, abgeschwächte Cholera-Bakterien (</w:t>
      </w:r>
      <w:r>
        <w:rPr>
          <w:rStyle w:val="Emphasis"/>
        </w:rPr>
        <w:t>V</w:t>
      </w:r>
      <w:r w:rsidR="007C2A30">
        <w:rPr>
          <w:rStyle w:val="Emphasis"/>
        </w:rPr>
        <w:t>ibrio</w:t>
      </w:r>
      <w:r>
        <w:rPr>
          <w:rStyle w:val="Emphasis"/>
        </w:rPr>
        <w:t xml:space="preserve"> cholerae</w:t>
      </w:r>
      <w:r>
        <w:t xml:space="preserve"> O1, klassischer </w:t>
      </w:r>
      <w:proofErr w:type="spellStart"/>
      <w:r>
        <w:t>Inaba</w:t>
      </w:r>
      <w:proofErr w:type="spellEnd"/>
      <w:r>
        <w:t>-Stamm CVD 103-HgR), die sich im Gastrointestinaltrakt der geimpften Person replizieren und eine Serum-Antikörper-Antwort auf Vibrionen und eine B</w:t>
      </w:r>
      <w:r>
        <w:noBreakHyphen/>
        <w:t xml:space="preserve">Gedächtniszellen-Antwort induzieren. Die Immunmechanismen, die nach einer Impfung mit </w:t>
      </w:r>
      <w:r w:rsidR="00637DB1">
        <w:t xml:space="preserve">dem Impfstoff </w:t>
      </w:r>
      <w:r>
        <w:t xml:space="preserve">Schutz gegen Cholera bieten, wurden noch nicht ermittelt. Jedoch wurde der Anstieg der Serum-Antikörper gegen Vibrionen 10 Tage nach der Impfung mit </w:t>
      </w:r>
      <w:r w:rsidR="00637DB1">
        <w:t xml:space="preserve">diesem Impfstoff </w:t>
      </w:r>
      <w:r>
        <w:t>mit dem Schutz assoziiert, der im Rahmen einer Challenge-Studie mit Menschen untersucht wurde.</w:t>
      </w:r>
    </w:p>
    <w:p w14:paraId="14F4E1E4" w14:textId="77777777" w:rsidR="008B7366" w:rsidRDefault="008B7366"/>
    <w:p w14:paraId="118AB47C" w14:textId="77777777" w:rsidR="008B7366" w:rsidRDefault="009866CA">
      <w:pPr>
        <w:pStyle w:val="HeadingUnderlined"/>
      </w:pPr>
      <w:r>
        <w:t>Wirksamkeit bei einer Belastung mit einem Cholera-Erreger</w:t>
      </w:r>
    </w:p>
    <w:p w14:paraId="113AA58F" w14:textId="0F2EE1F9" w:rsidR="008B7366" w:rsidRDefault="009866CA">
      <w:r>
        <w:t xml:space="preserve">Die Wirksamkeit von </w:t>
      </w:r>
      <w:proofErr w:type="spellStart"/>
      <w:r>
        <w:t>Vaxchora</w:t>
      </w:r>
      <w:proofErr w:type="spellEnd"/>
      <w:r>
        <w:t xml:space="preserve"> gegen Cholera wurde in einer Challenge-Studie am Menschen gezeigt, die mit 197 gesunden, erwachsenen Freiwilligen mit einem durchschnittlichen Alter von 31 Jahren (Bereich 18 bis 45; 62,9</w:t>
      </w:r>
      <w:r w:rsidR="008C05DF">
        <w:t> </w:t>
      </w:r>
      <w:r>
        <w:t>% männlich, 37,1</w:t>
      </w:r>
      <w:r w:rsidR="008C05DF">
        <w:t> </w:t>
      </w:r>
      <w:r>
        <w:t>% weiblich) durchgeführt wurde. Ein</w:t>
      </w:r>
      <w:r w:rsidR="00D9269A">
        <w:t>e</w:t>
      </w:r>
      <w:r>
        <w:t xml:space="preserve"> </w:t>
      </w:r>
      <w:r w:rsidR="00D9269A">
        <w:t xml:space="preserve">Untergruppe </w:t>
      </w:r>
      <w:r>
        <w:t xml:space="preserve">der mit </w:t>
      </w:r>
      <w:r w:rsidR="00BD1806">
        <w:t xml:space="preserve">dem </w:t>
      </w:r>
      <w:proofErr w:type="spellStart"/>
      <w:r w:rsidR="00BD1806">
        <w:t>Impstoff</w:t>
      </w:r>
      <w:proofErr w:type="spellEnd"/>
      <w:r w:rsidR="00BD1806">
        <w:t xml:space="preserve"> </w:t>
      </w:r>
      <w:r>
        <w:t xml:space="preserve">oder einem Placebo geimpften Studienteilnehmer erhielt 10 Tage bzw. 3 Monate nach der Impfung (n = 68 bzw. n = 66) lebende </w:t>
      </w:r>
      <w:r>
        <w:rPr>
          <w:rStyle w:val="Emphasis"/>
        </w:rPr>
        <w:t>V</w:t>
      </w:r>
      <w:r w:rsidR="00BD1806">
        <w:rPr>
          <w:rStyle w:val="Emphasis"/>
        </w:rPr>
        <w:t>ibrio</w:t>
      </w:r>
      <w:r>
        <w:t> </w:t>
      </w:r>
      <w:r>
        <w:rPr>
          <w:rStyle w:val="Emphasis"/>
        </w:rPr>
        <w:t>cholerae</w:t>
      </w:r>
      <w:r>
        <w:t>. Informationen zur Schutzwirksamkeit gegen mittelschwere bis schwere Diarrhoe sind in Tabelle 1 enthalten.</w:t>
      </w:r>
    </w:p>
    <w:p w14:paraId="11EE0E62" w14:textId="77777777" w:rsidR="008B7366" w:rsidRDefault="008B7366"/>
    <w:p w14:paraId="74AA7840" w14:textId="31DA0EF6" w:rsidR="008B7366" w:rsidRDefault="009866CA">
      <w:r>
        <w:t>Nur bei den Studienteilnehmern mit Blutgruppe</w:t>
      </w:r>
      <w:r w:rsidR="00306499">
        <w:t> </w:t>
      </w:r>
      <w:r>
        <w:t>0 betrug die Schutzwirksamkeit gegen mittelschwere oder schwere Diarrhoe in der Challenge-Gruppe nach 10 Tagen (n = 19) 84</w:t>
      </w:r>
      <w:r w:rsidR="00306499">
        <w:t>,8</w:t>
      </w:r>
      <w:r w:rsidR="00FC0288">
        <w:t> </w:t>
      </w:r>
      <w:r>
        <w:t xml:space="preserve">% bzw. in der Challenge-Gruppe nach 3 Monaten (n = 20) </w:t>
      </w:r>
      <w:r w:rsidR="001C6802">
        <w:t>78,4</w:t>
      </w:r>
      <w:r w:rsidR="00FC0288">
        <w:t> </w:t>
      </w:r>
      <w:r>
        <w:t>%.</w:t>
      </w:r>
    </w:p>
    <w:p w14:paraId="4AD4275C" w14:textId="77777777" w:rsidR="008B7366" w:rsidRDefault="008B7366"/>
    <w:p w14:paraId="47F6D4DB" w14:textId="157CBE00" w:rsidR="008B7366" w:rsidRDefault="009866CA" w:rsidP="001B5904">
      <w:pPr>
        <w:pStyle w:val="TableTitle"/>
        <w:ind w:left="1134" w:hanging="1134"/>
      </w:pPr>
      <w:r>
        <w:t>Tabelle 1:</w:t>
      </w:r>
      <w:r w:rsidR="001B5904">
        <w:tab/>
      </w:r>
      <w:r>
        <w:t xml:space="preserve">Schutzwirksamkeit im Rahmen der Prävention einer mittelschweren bis schweren Diarrhoe infolge einer Belastung mit </w:t>
      </w:r>
      <w:r>
        <w:rPr>
          <w:rStyle w:val="Emphasis"/>
        </w:rPr>
        <w:t>V</w:t>
      </w:r>
      <w:r w:rsidR="00DD78C2">
        <w:rPr>
          <w:rStyle w:val="Emphasis"/>
        </w:rPr>
        <w:t>ibrio</w:t>
      </w:r>
      <w:r>
        <w:t> </w:t>
      </w:r>
      <w:r>
        <w:rPr>
          <w:rStyle w:val="Emphasis"/>
        </w:rPr>
        <w:t>cholerae</w:t>
      </w:r>
      <w:r>
        <w:t xml:space="preserve"> O1 El Tor </w:t>
      </w:r>
      <w:proofErr w:type="spellStart"/>
      <w:r>
        <w:t>Inaba</w:t>
      </w:r>
      <w:proofErr w:type="spellEnd"/>
      <w:r>
        <w:t xml:space="preserve"> 10 Tage bzw. 3 Monate nach der Impfung (</w:t>
      </w:r>
      <w:proofErr w:type="spellStart"/>
      <w:r>
        <w:t>Intent</w:t>
      </w:r>
      <w:proofErr w:type="spellEnd"/>
      <w:r>
        <w:t>-</w:t>
      </w:r>
      <w:proofErr w:type="spellStart"/>
      <w:r>
        <w:t>to</w:t>
      </w:r>
      <w:proofErr w:type="spellEnd"/>
      <w:r>
        <w:t>-</w:t>
      </w:r>
      <w:proofErr w:type="spellStart"/>
      <w:r>
        <w:t>Treat</w:t>
      </w:r>
      <w:proofErr w:type="spellEnd"/>
      <w:r>
        <w:t>-Population)</w:t>
      </w:r>
    </w:p>
    <w:p w14:paraId="6350A6A1" w14:textId="77777777" w:rsidR="008B7366" w:rsidRDefault="008B73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246"/>
        <w:gridCol w:w="2246"/>
        <w:gridCol w:w="2255"/>
      </w:tblGrid>
      <w:tr w:rsidR="008B7366" w:rsidRPr="00923E56" w14:paraId="29C81D3A" w14:textId="77777777" w:rsidTr="001C6802">
        <w:tc>
          <w:tcPr>
            <w:tcW w:w="2325" w:type="dxa"/>
            <w:tcBorders>
              <w:top w:val="single" w:sz="12" w:space="0" w:color="auto"/>
              <w:left w:val="single" w:sz="12" w:space="0" w:color="auto"/>
              <w:bottom w:val="single" w:sz="12" w:space="0" w:color="auto"/>
              <w:right w:val="nil"/>
            </w:tcBorders>
            <w:shd w:val="clear" w:color="auto" w:fill="auto"/>
            <w:vAlign w:val="bottom"/>
          </w:tcPr>
          <w:p w14:paraId="28155CDC" w14:textId="77777777" w:rsidR="008B7366" w:rsidRPr="00923E56" w:rsidRDefault="009866CA">
            <w:pPr>
              <w:pStyle w:val="normal10pt"/>
              <w:rPr>
                <w:rStyle w:val="Strong"/>
                <w:sz w:val="22"/>
              </w:rPr>
            </w:pPr>
            <w:r w:rsidRPr="006B1EDF">
              <w:rPr>
                <w:rStyle w:val="Strong"/>
                <w:sz w:val="22"/>
              </w:rPr>
              <w:t>Parameter</w:t>
            </w:r>
          </w:p>
        </w:tc>
        <w:tc>
          <w:tcPr>
            <w:tcW w:w="2326" w:type="dxa"/>
            <w:tcBorders>
              <w:top w:val="single" w:sz="12" w:space="0" w:color="auto"/>
              <w:left w:val="nil"/>
              <w:bottom w:val="single" w:sz="12" w:space="0" w:color="auto"/>
              <w:right w:val="nil"/>
            </w:tcBorders>
            <w:shd w:val="clear" w:color="auto" w:fill="auto"/>
            <w:vAlign w:val="bottom"/>
          </w:tcPr>
          <w:p w14:paraId="56982CC0" w14:textId="77777777" w:rsidR="008B7366" w:rsidRPr="006B1EDF" w:rsidRDefault="009866CA">
            <w:pPr>
              <w:pStyle w:val="normal10pt"/>
              <w:jc w:val="center"/>
              <w:rPr>
                <w:rStyle w:val="Strong"/>
                <w:sz w:val="22"/>
              </w:rPr>
            </w:pPr>
            <w:proofErr w:type="spellStart"/>
            <w:r w:rsidRPr="006B1EDF">
              <w:rPr>
                <w:rStyle w:val="Strong"/>
                <w:sz w:val="22"/>
              </w:rPr>
              <w:t>Vaxchora</w:t>
            </w:r>
            <w:proofErr w:type="spellEnd"/>
            <w:r w:rsidRPr="006B1EDF">
              <w:rPr>
                <w:rStyle w:val="Strong"/>
                <w:sz w:val="22"/>
              </w:rPr>
              <w:t> – Belastung nach 10 Tagen</w:t>
            </w:r>
          </w:p>
          <w:p w14:paraId="26F9B0DF" w14:textId="77777777" w:rsidR="008B7366" w:rsidRPr="006B1EDF" w:rsidRDefault="009866CA">
            <w:pPr>
              <w:pStyle w:val="normal10pt"/>
              <w:jc w:val="center"/>
              <w:rPr>
                <w:sz w:val="22"/>
              </w:rPr>
            </w:pPr>
            <w:r w:rsidRPr="006B1EDF">
              <w:rPr>
                <w:sz w:val="22"/>
              </w:rPr>
              <w:t>n = 35</w:t>
            </w:r>
          </w:p>
        </w:tc>
        <w:tc>
          <w:tcPr>
            <w:tcW w:w="2326" w:type="dxa"/>
            <w:tcBorders>
              <w:top w:val="single" w:sz="12" w:space="0" w:color="auto"/>
              <w:left w:val="nil"/>
              <w:bottom w:val="single" w:sz="12" w:space="0" w:color="auto"/>
              <w:right w:val="nil"/>
            </w:tcBorders>
            <w:shd w:val="clear" w:color="auto" w:fill="auto"/>
            <w:vAlign w:val="bottom"/>
          </w:tcPr>
          <w:p w14:paraId="54031CCC" w14:textId="77777777" w:rsidR="008B7366" w:rsidRPr="006B1EDF" w:rsidRDefault="009866CA">
            <w:pPr>
              <w:pStyle w:val="normal10pt"/>
              <w:jc w:val="center"/>
              <w:rPr>
                <w:rStyle w:val="Strong"/>
                <w:sz w:val="22"/>
              </w:rPr>
            </w:pPr>
            <w:proofErr w:type="spellStart"/>
            <w:r w:rsidRPr="006B1EDF">
              <w:rPr>
                <w:rStyle w:val="Strong"/>
                <w:sz w:val="22"/>
              </w:rPr>
              <w:t>Vaxchora</w:t>
            </w:r>
            <w:proofErr w:type="spellEnd"/>
            <w:r w:rsidRPr="006B1EDF">
              <w:rPr>
                <w:rStyle w:val="Strong"/>
                <w:sz w:val="22"/>
              </w:rPr>
              <w:t> – Belastung nach 3 Monaten</w:t>
            </w:r>
          </w:p>
          <w:p w14:paraId="1674AA62" w14:textId="77777777" w:rsidR="008B7366" w:rsidRPr="006B1EDF" w:rsidRDefault="009866CA">
            <w:pPr>
              <w:pStyle w:val="normal10pt"/>
              <w:jc w:val="center"/>
              <w:rPr>
                <w:sz w:val="22"/>
              </w:rPr>
            </w:pPr>
            <w:r w:rsidRPr="006B1EDF">
              <w:rPr>
                <w:sz w:val="22"/>
              </w:rPr>
              <w:t>n = 33</w:t>
            </w:r>
          </w:p>
        </w:tc>
        <w:tc>
          <w:tcPr>
            <w:tcW w:w="2326" w:type="dxa"/>
            <w:tcBorders>
              <w:top w:val="single" w:sz="12" w:space="0" w:color="auto"/>
              <w:left w:val="nil"/>
              <w:bottom w:val="single" w:sz="12" w:space="0" w:color="auto"/>
              <w:right w:val="single" w:sz="12" w:space="0" w:color="auto"/>
            </w:tcBorders>
            <w:shd w:val="clear" w:color="auto" w:fill="auto"/>
            <w:vAlign w:val="bottom"/>
          </w:tcPr>
          <w:p w14:paraId="14B93723" w14:textId="77777777" w:rsidR="008B7366" w:rsidRPr="006B1EDF" w:rsidRDefault="009866CA">
            <w:pPr>
              <w:pStyle w:val="normal10pt"/>
              <w:jc w:val="center"/>
              <w:rPr>
                <w:rStyle w:val="Strong"/>
                <w:sz w:val="22"/>
              </w:rPr>
            </w:pPr>
            <w:r w:rsidRPr="006B1EDF">
              <w:rPr>
                <w:rStyle w:val="Strong"/>
                <w:sz w:val="22"/>
              </w:rPr>
              <w:t>Kombinierte Belastung mit Placebo nach 10 Tagen oder 3 Monaten</w:t>
            </w:r>
          </w:p>
          <w:p w14:paraId="208502C6" w14:textId="77777777" w:rsidR="008B7366" w:rsidRPr="006B1EDF" w:rsidRDefault="009866CA">
            <w:pPr>
              <w:pStyle w:val="normal10pt"/>
              <w:jc w:val="center"/>
              <w:rPr>
                <w:sz w:val="22"/>
              </w:rPr>
            </w:pPr>
            <w:r w:rsidRPr="006B1EDF">
              <w:rPr>
                <w:sz w:val="22"/>
              </w:rPr>
              <w:t>n = 66</w:t>
            </w:r>
          </w:p>
        </w:tc>
      </w:tr>
      <w:tr w:rsidR="008B7366" w:rsidRPr="00923E56" w14:paraId="17532EAB" w14:textId="77777777" w:rsidTr="001C6802">
        <w:tc>
          <w:tcPr>
            <w:tcW w:w="2325" w:type="dxa"/>
            <w:tcBorders>
              <w:top w:val="single" w:sz="12" w:space="0" w:color="auto"/>
              <w:left w:val="single" w:sz="12" w:space="0" w:color="auto"/>
              <w:bottom w:val="nil"/>
              <w:right w:val="nil"/>
            </w:tcBorders>
            <w:shd w:val="clear" w:color="auto" w:fill="auto"/>
          </w:tcPr>
          <w:p w14:paraId="7D1615DB" w14:textId="77777777" w:rsidR="008B7366" w:rsidRPr="006B1EDF" w:rsidRDefault="009866CA">
            <w:pPr>
              <w:pStyle w:val="normal10pt"/>
              <w:rPr>
                <w:sz w:val="22"/>
              </w:rPr>
            </w:pPr>
            <w:r w:rsidRPr="006B1EDF">
              <w:rPr>
                <w:sz w:val="22"/>
              </w:rPr>
              <w:t>Anzahl der Studienteilnehmer mit mittelschwerer oder schwerer Diarrhoe (Anfallsrate)</w:t>
            </w:r>
          </w:p>
        </w:tc>
        <w:tc>
          <w:tcPr>
            <w:tcW w:w="2326" w:type="dxa"/>
            <w:tcBorders>
              <w:top w:val="single" w:sz="12" w:space="0" w:color="auto"/>
              <w:left w:val="nil"/>
              <w:bottom w:val="nil"/>
              <w:right w:val="nil"/>
            </w:tcBorders>
            <w:shd w:val="clear" w:color="auto" w:fill="auto"/>
          </w:tcPr>
          <w:p w14:paraId="53515FF4" w14:textId="47AD4715" w:rsidR="008B7366" w:rsidRPr="006B1EDF" w:rsidRDefault="009866CA">
            <w:pPr>
              <w:pStyle w:val="normal10pt"/>
              <w:jc w:val="center"/>
              <w:rPr>
                <w:sz w:val="22"/>
              </w:rPr>
            </w:pPr>
            <w:r w:rsidRPr="006B1EDF">
              <w:rPr>
                <w:sz w:val="22"/>
              </w:rPr>
              <w:t>2 (5,7</w:t>
            </w:r>
            <w:r w:rsidR="00B256C0">
              <w:rPr>
                <w:sz w:val="22"/>
              </w:rPr>
              <w:t> </w:t>
            </w:r>
            <w:r w:rsidRPr="006B1EDF">
              <w:rPr>
                <w:sz w:val="22"/>
              </w:rPr>
              <w:t>%)</w:t>
            </w:r>
          </w:p>
        </w:tc>
        <w:tc>
          <w:tcPr>
            <w:tcW w:w="2326" w:type="dxa"/>
            <w:tcBorders>
              <w:top w:val="single" w:sz="12" w:space="0" w:color="auto"/>
              <w:left w:val="nil"/>
              <w:bottom w:val="nil"/>
              <w:right w:val="nil"/>
            </w:tcBorders>
            <w:shd w:val="clear" w:color="auto" w:fill="auto"/>
          </w:tcPr>
          <w:p w14:paraId="73DAF4F8" w14:textId="094DB306" w:rsidR="008B7366" w:rsidRPr="006B1EDF" w:rsidRDefault="009866CA">
            <w:pPr>
              <w:pStyle w:val="normal10pt"/>
              <w:jc w:val="center"/>
              <w:rPr>
                <w:sz w:val="22"/>
              </w:rPr>
            </w:pPr>
            <w:r w:rsidRPr="006B1EDF">
              <w:rPr>
                <w:sz w:val="22"/>
              </w:rPr>
              <w:t>4 (12,1</w:t>
            </w:r>
            <w:r w:rsidR="00B256C0">
              <w:rPr>
                <w:sz w:val="22"/>
              </w:rPr>
              <w:t> </w:t>
            </w:r>
            <w:r w:rsidRPr="006B1EDF">
              <w:rPr>
                <w:sz w:val="22"/>
              </w:rPr>
              <w:t>%)</w:t>
            </w:r>
          </w:p>
        </w:tc>
        <w:tc>
          <w:tcPr>
            <w:tcW w:w="2326" w:type="dxa"/>
            <w:tcBorders>
              <w:top w:val="single" w:sz="12" w:space="0" w:color="auto"/>
              <w:left w:val="nil"/>
              <w:bottom w:val="nil"/>
              <w:right w:val="single" w:sz="12" w:space="0" w:color="auto"/>
            </w:tcBorders>
            <w:shd w:val="clear" w:color="auto" w:fill="auto"/>
          </w:tcPr>
          <w:p w14:paraId="31F4CC6D" w14:textId="54073B96" w:rsidR="008B7366" w:rsidRPr="006B1EDF" w:rsidRDefault="009866CA">
            <w:pPr>
              <w:pStyle w:val="normal10pt"/>
              <w:jc w:val="center"/>
              <w:rPr>
                <w:sz w:val="22"/>
              </w:rPr>
            </w:pPr>
            <w:r w:rsidRPr="006B1EDF">
              <w:rPr>
                <w:sz w:val="22"/>
              </w:rPr>
              <w:t>39 (59,1</w:t>
            </w:r>
            <w:r w:rsidR="00B256C0">
              <w:rPr>
                <w:sz w:val="22"/>
              </w:rPr>
              <w:t> </w:t>
            </w:r>
            <w:r w:rsidRPr="006B1EDF">
              <w:rPr>
                <w:sz w:val="22"/>
              </w:rPr>
              <w:t>%)</w:t>
            </w:r>
          </w:p>
        </w:tc>
      </w:tr>
      <w:tr w:rsidR="008B7366" w:rsidRPr="00923E56" w14:paraId="6811467A" w14:textId="77777777" w:rsidTr="001C6802">
        <w:tc>
          <w:tcPr>
            <w:tcW w:w="2325" w:type="dxa"/>
            <w:tcBorders>
              <w:top w:val="nil"/>
              <w:left w:val="single" w:sz="12" w:space="0" w:color="auto"/>
              <w:bottom w:val="single" w:sz="12" w:space="0" w:color="auto"/>
              <w:right w:val="nil"/>
            </w:tcBorders>
            <w:shd w:val="clear" w:color="auto" w:fill="auto"/>
          </w:tcPr>
          <w:p w14:paraId="6D320B05" w14:textId="77777777" w:rsidR="008B7366" w:rsidRPr="006B1EDF" w:rsidRDefault="009866CA">
            <w:pPr>
              <w:pStyle w:val="normal10pt"/>
              <w:rPr>
                <w:sz w:val="22"/>
              </w:rPr>
            </w:pPr>
            <w:r w:rsidRPr="006B1EDF">
              <w:rPr>
                <w:sz w:val="22"/>
              </w:rPr>
              <w:t>Schutzwirksamkeit %</w:t>
            </w:r>
          </w:p>
          <w:p w14:paraId="33DDA1CC" w14:textId="6D91B62D" w:rsidR="008B7366" w:rsidRPr="006B1EDF" w:rsidRDefault="009866CA">
            <w:pPr>
              <w:pStyle w:val="normal10pt"/>
              <w:rPr>
                <w:sz w:val="22"/>
              </w:rPr>
            </w:pPr>
            <w:r w:rsidRPr="006B1EDF">
              <w:rPr>
                <w:sz w:val="22"/>
              </w:rPr>
              <w:t>[95%</w:t>
            </w:r>
            <w:r w:rsidR="00827385">
              <w:rPr>
                <w:sz w:val="22"/>
              </w:rPr>
              <w:noBreakHyphen/>
            </w:r>
            <w:r w:rsidRPr="006B1EDF">
              <w:rPr>
                <w:sz w:val="22"/>
              </w:rPr>
              <w:t>KI]</w:t>
            </w:r>
          </w:p>
        </w:tc>
        <w:tc>
          <w:tcPr>
            <w:tcW w:w="2326" w:type="dxa"/>
            <w:tcBorders>
              <w:top w:val="nil"/>
              <w:left w:val="nil"/>
              <w:bottom w:val="single" w:sz="12" w:space="0" w:color="auto"/>
              <w:right w:val="nil"/>
            </w:tcBorders>
            <w:shd w:val="clear" w:color="auto" w:fill="auto"/>
          </w:tcPr>
          <w:p w14:paraId="5894E700" w14:textId="5783F365" w:rsidR="008B7366" w:rsidRPr="006B1EDF" w:rsidRDefault="009866CA">
            <w:pPr>
              <w:pStyle w:val="normal10pt"/>
              <w:jc w:val="center"/>
              <w:rPr>
                <w:sz w:val="22"/>
              </w:rPr>
            </w:pPr>
            <w:r w:rsidRPr="006B1EDF">
              <w:rPr>
                <w:sz w:val="22"/>
              </w:rPr>
              <w:t>90,3</w:t>
            </w:r>
            <w:r w:rsidR="00B256C0">
              <w:rPr>
                <w:sz w:val="22"/>
              </w:rPr>
              <w:t> </w:t>
            </w:r>
            <w:r w:rsidRPr="006B1EDF">
              <w:rPr>
                <w:sz w:val="22"/>
              </w:rPr>
              <w:t>%</w:t>
            </w:r>
          </w:p>
          <w:p w14:paraId="636EC74F" w14:textId="0218F87A" w:rsidR="008B7366" w:rsidRPr="006B1EDF" w:rsidRDefault="009866CA">
            <w:pPr>
              <w:pStyle w:val="normal10pt"/>
              <w:jc w:val="center"/>
              <w:rPr>
                <w:sz w:val="22"/>
              </w:rPr>
            </w:pPr>
            <w:r w:rsidRPr="006B1EDF">
              <w:rPr>
                <w:sz w:val="22"/>
              </w:rPr>
              <w:t>[62,7</w:t>
            </w:r>
            <w:r w:rsidR="00C26729">
              <w:rPr>
                <w:sz w:val="22"/>
              </w:rPr>
              <w:t> </w:t>
            </w:r>
            <w:r w:rsidRPr="006B1EDF">
              <w:rPr>
                <w:sz w:val="22"/>
              </w:rPr>
              <w:t>%, 100,0</w:t>
            </w:r>
            <w:r w:rsidR="00C26729">
              <w:rPr>
                <w:sz w:val="22"/>
              </w:rPr>
              <w:t> </w:t>
            </w:r>
            <w:r w:rsidRPr="006B1EDF">
              <w:rPr>
                <w:sz w:val="22"/>
              </w:rPr>
              <w:t>%]</w:t>
            </w:r>
          </w:p>
        </w:tc>
        <w:tc>
          <w:tcPr>
            <w:tcW w:w="2326" w:type="dxa"/>
            <w:tcBorders>
              <w:top w:val="nil"/>
              <w:left w:val="nil"/>
              <w:bottom w:val="single" w:sz="12" w:space="0" w:color="auto"/>
              <w:right w:val="nil"/>
            </w:tcBorders>
            <w:shd w:val="clear" w:color="auto" w:fill="auto"/>
          </w:tcPr>
          <w:p w14:paraId="2BE11983" w14:textId="3D37D6AF" w:rsidR="008B7366" w:rsidRPr="006B1EDF" w:rsidRDefault="009866CA">
            <w:pPr>
              <w:pStyle w:val="normal10pt"/>
              <w:jc w:val="center"/>
              <w:rPr>
                <w:sz w:val="22"/>
              </w:rPr>
            </w:pPr>
            <w:r w:rsidRPr="006B1EDF">
              <w:rPr>
                <w:sz w:val="22"/>
              </w:rPr>
              <w:t>79,5</w:t>
            </w:r>
            <w:r w:rsidR="00B256C0">
              <w:rPr>
                <w:sz w:val="22"/>
              </w:rPr>
              <w:t> </w:t>
            </w:r>
            <w:r w:rsidRPr="006B1EDF">
              <w:rPr>
                <w:sz w:val="22"/>
              </w:rPr>
              <w:t>%</w:t>
            </w:r>
          </w:p>
          <w:p w14:paraId="759C7B12" w14:textId="7C9A962E" w:rsidR="008B7366" w:rsidRPr="006B1EDF" w:rsidRDefault="009866CA">
            <w:pPr>
              <w:pStyle w:val="normal10pt"/>
              <w:jc w:val="center"/>
              <w:rPr>
                <w:sz w:val="22"/>
              </w:rPr>
            </w:pPr>
            <w:r w:rsidRPr="006B1EDF">
              <w:rPr>
                <w:sz w:val="22"/>
              </w:rPr>
              <w:t>[49,9</w:t>
            </w:r>
            <w:r w:rsidR="00C26729">
              <w:rPr>
                <w:sz w:val="22"/>
              </w:rPr>
              <w:t> </w:t>
            </w:r>
            <w:r w:rsidRPr="006B1EDF">
              <w:rPr>
                <w:sz w:val="22"/>
              </w:rPr>
              <w:t>%, 100,0</w:t>
            </w:r>
            <w:r w:rsidR="00C26729">
              <w:rPr>
                <w:sz w:val="22"/>
              </w:rPr>
              <w:t> </w:t>
            </w:r>
            <w:r w:rsidRPr="006B1EDF">
              <w:rPr>
                <w:sz w:val="22"/>
              </w:rPr>
              <w:t>%]</w:t>
            </w:r>
          </w:p>
        </w:tc>
        <w:tc>
          <w:tcPr>
            <w:tcW w:w="2326" w:type="dxa"/>
            <w:tcBorders>
              <w:top w:val="nil"/>
              <w:left w:val="nil"/>
              <w:bottom w:val="single" w:sz="12" w:space="0" w:color="auto"/>
              <w:right w:val="single" w:sz="12" w:space="0" w:color="auto"/>
            </w:tcBorders>
            <w:shd w:val="clear" w:color="auto" w:fill="auto"/>
          </w:tcPr>
          <w:p w14:paraId="0F2A627E" w14:textId="77777777" w:rsidR="008B7366" w:rsidRPr="006B1EDF" w:rsidRDefault="009866CA">
            <w:pPr>
              <w:pStyle w:val="normal10pt"/>
              <w:jc w:val="center"/>
              <w:rPr>
                <w:sz w:val="22"/>
              </w:rPr>
            </w:pPr>
            <w:r w:rsidRPr="006B1EDF">
              <w:rPr>
                <w:sz w:val="22"/>
              </w:rPr>
              <w:t>-</w:t>
            </w:r>
          </w:p>
        </w:tc>
      </w:tr>
    </w:tbl>
    <w:p w14:paraId="79C993D4" w14:textId="49015CE1" w:rsidR="008B7366" w:rsidRPr="006B1EDF" w:rsidRDefault="00AB2A82">
      <w:pPr>
        <w:rPr>
          <w:sz w:val="20"/>
          <w:szCs w:val="20"/>
        </w:rPr>
      </w:pPr>
      <w:r w:rsidRPr="006B1EDF">
        <w:rPr>
          <w:sz w:val="20"/>
          <w:szCs w:val="20"/>
        </w:rPr>
        <w:t xml:space="preserve">n = Anzahl der </w:t>
      </w:r>
      <w:r w:rsidR="002B2257">
        <w:rPr>
          <w:sz w:val="20"/>
          <w:szCs w:val="20"/>
        </w:rPr>
        <w:t>Studient</w:t>
      </w:r>
      <w:r w:rsidRPr="006B1EDF">
        <w:rPr>
          <w:sz w:val="20"/>
          <w:szCs w:val="20"/>
        </w:rPr>
        <w:t>eilnehmer mit analysierbaren Proben</w:t>
      </w:r>
      <w:r w:rsidR="001F1ACD" w:rsidRPr="006B1EDF">
        <w:rPr>
          <w:sz w:val="20"/>
          <w:szCs w:val="20"/>
        </w:rPr>
        <w:t>.</w:t>
      </w:r>
    </w:p>
    <w:p w14:paraId="3BD282BA" w14:textId="60A1035D" w:rsidR="00AB2A82" w:rsidRPr="006B1EDF" w:rsidRDefault="00AB2A82">
      <w:pPr>
        <w:rPr>
          <w:sz w:val="20"/>
          <w:szCs w:val="20"/>
        </w:rPr>
      </w:pPr>
      <w:r w:rsidRPr="006B1EDF">
        <w:rPr>
          <w:sz w:val="20"/>
          <w:szCs w:val="20"/>
        </w:rPr>
        <w:t>KI = </w:t>
      </w:r>
      <w:r w:rsidR="000A20B1" w:rsidRPr="006B1EDF">
        <w:rPr>
          <w:sz w:val="20"/>
          <w:szCs w:val="20"/>
        </w:rPr>
        <w:t>Konfidenzintervall</w:t>
      </w:r>
      <w:r w:rsidR="001F1ACD" w:rsidRPr="006B1EDF">
        <w:rPr>
          <w:sz w:val="20"/>
          <w:szCs w:val="20"/>
        </w:rPr>
        <w:t>.</w:t>
      </w:r>
    </w:p>
    <w:p w14:paraId="39B7D75A" w14:textId="77777777" w:rsidR="00AB2A82" w:rsidRDefault="00AB2A82"/>
    <w:p w14:paraId="4539203B" w14:textId="77777777" w:rsidR="008B7366" w:rsidRDefault="009866CA">
      <w:pPr>
        <w:pStyle w:val="HeadingUnderlined"/>
      </w:pPr>
      <w:r>
        <w:t>Immunogenität</w:t>
      </w:r>
    </w:p>
    <w:p w14:paraId="3B9646C9" w14:textId="0A06D4B0" w:rsidR="008B7366" w:rsidRDefault="009866CA">
      <w:r>
        <w:t xml:space="preserve">Die Challenge-Studie am Menschen hat gezeigt, dass die </w:t>
      </w:r>
      <w:proofErr w:type="spellStart"/>
      <w:r>
        <w:t>Serokonversion</w:t>
      </w:r>
      <w:proofErr w:type="spellEnd"/>
      <w:r>
        <w:t xml:space="preserve"> infolge einer Vibrionen-Belastung, die als vierfacher oder größerer Anstieg des Serum-Antikörper-Titers gegen Vibrionen </w:t>
      </w:r>
      <w:r>
        <w:lastRenderedPageBreak/>
        <w:t xml:space="preserve">(gemessen 10 Tage nach der Impfung) im Vergleich zum Ausgangswert definiert ist, eine nahezu Eins-zu-eins-Korrelation mit dem Schutz gegen mittelschwere bis schwere Diarrhoe aufweist. Aufgrund dessen wurde die </w:t>
      </w:r>
      <w:proofErr w:type="spellStart"/>
      <w:r>
        <w:t>Serokonversion</w:t>
      </w:r>
      <w:proofErr w:type="spellEnd"/>
      <w:r>
        <w:t xml:space="preserve"> als immunologische Brücke zwischen Erwachsenen im Alter von 18 bis &lt; 46 Jahren, die an der Challenge-Studie teilnahmen, und anderen Populationen ausgewählt, z. B. ältere Menschen sowie Kinder und Jugendliche. In drei zusätzlichen Studien wurde die Immunogenität evaluiert: eine groß angelegte Studie mit 3</w:t>
      </w:r>
      <w:r w:rsidR="00816B76">
        <w:t> </w:t>
      </w:r>
      <w:r>
        <w:t>146 gesunden Erwachsenen im Alter von 18 bis &lt; 46 Jahren (durchschnittliches Alter 29,9, Bereich 18</w:t>
      </w:r>
      <w:r>
        <w:noBreakHyphen/>
        <w:t>46; 45,2</w:t>
      </w:r>
      <w:r w:rsidR="005F04F0">
        <w:t> </w:t>
      </w:r>
      <w:r>
        <w:t>% männlich, 54,8</w:t>
      </w:r>
      <w:r w:rsidR="005F04F0">
        <w:t> </w:t>
      </w:r>
      <w:r>
        <w:t>% weiblich)</w:t>
      </w:r>
      <w:r w:rsidR="005F04F0">
        <w:t xml:space="preserve"> (Studie 3)</w:t>
      </w:r>
      <w:r>
        <w:t>; eine Studie mit 398 gesunden älteren Menschen im Alter von 46 bis &lt; 65 Jahren (durchschnittliches Alter 53,8, Bereich 46</w:t>
      </w:r>
      <w:r>
        <w:noBreakHyphen/>
        <w:t>64; 45,7</w:t>
      </w:r>
      <w:r w:rsidR="00A24B94">
        <w:t> </w:t>
      </w:r>
      <w:r>
        <w:t>% männlich, 54,3</w:t>
      </w:r>
      <w:r w:rsidR="00A24B94">
        <w:t> </w:t>
      </w:r>
      <w:r>
        <w:t>% weiblich)</w:t>
      </w:r>
      <w:r w:rsidR="00A24B94">
        <w:t xml:space="preserve"> (Studie 4)</w:t>
      </w:r>
      <w:r>
        <w:t xml:space="preserve">; und eine Studie mit gesunden Kindern im Alter von </w:t>
      </w:r>
      <w:r w:rsidR="00065ED2">
        <w:t>2 bis &lt; 18 </w:t>
      </w:r>
      <w:r>
        <w:t>Jahren</w:t>
      </w:r>
      <w:r w:rsidR="000E77F0">
        <w:t xml:space="preserve"> (Studie 5)</w:t>
      </w:r>
      <w:r>
        <w:t>. Vordefinierte Immuno-</w:t>
      </w:r>
      <w:proofErr w:type="spellStart"/>
      <w:r>
        <w:t>Bridging</w:t>
      </w:r>
      <w:proofErr w:type="spellEnd"/>
      <w:r>
        <w:t xml:space="preserve">-Analysen, die auf den Unterschieden bei den </w:t>
      </w:r>
      <w:proofErr w:type="spellStart"/>
      <w:r>
        <w:t>Serokonversionsraten</w:t>
      </w:r>
      <w:proofErr w:type="spellEnd"/>
      <w:r>
        <w:t xml:space="preserve"> basierten, wurden festgelegt, um im Rahmen der groß angelegten </w:t>
      </w:r>
      <w:proofErr w:type="spellStart"/>
      <w:r>
        <w:t>Immunogenitätsstudie</w:t>
      </w:r>
      <w:proofErr w:type="spellEnd"/>
      <w:r>
        <w:t xml:space="preserve"> zu zeigen, dass die </w:t>
      </w:r>
      <w:proofErr w:type="spellStart"/>
      <w:r>
        <w:t>Serokonversionsrate</w:t>
      </w:r>
      <w:proofErr w:type="spellEnd"/>
      <w:r>
        <w:t xml:space="preserve"> von älteren Menschen oder Kindern und Jugendlichen im Vergleich zu der von Erwachsenen im Alter von 18 bis &lt; 46 nicht </w:t>
      </w:r>
      <w:r w:rsidR="00D9269A">
        <w:t xml:space="preserve">unterlegen </w:t>
      </w:r>
      <w:r>
        <w:t>ist.</w:t>
      </w:r>
    </w:p>
    <w:p w14:paraId="0F264E36" w14:textId="77777777" w:rsidR="008B7366" w:rsidRDefault="008B7366"/>
    <w:p w14:paraId="4B932224" w14:textId="431A0CA0" w:rsidR="008B7366" w:rsidRDefault="009866CA">
      <w:r>
        <w:t xml:space="preserve">Die </w:t>
      </w:r>
      <w:proofErr w:type="spellStart"/>
      <w:r>
        <w:t>Serokonversionsraten</w:t>
      </w:r>
      <w:proofErr w:type="spellEnd"/>
      <w:r>
        <w:t xml:space="preserve"> von mit Impfstoff oder Placebo geimpften Personen aus den einzelnen Studien </w:t>
      </w:r>
      <w:r w:rsidR="00065ED2">
        <w:t xml:space="preserve">10 Tage nach der Impfung </w:t>
      </w:r>
      <w:r>
        <w:t>sowie die Ergebnisse des Immuno-</w:t>
      </w:r>
      <w:proofErr w:type="spellStart"/>
      <w:r>
        <w:t>Bridgings</w:t>
      </w:r>
      <w:proofErr w:type="spellEnd"/>
      <w:r>
        <w:t xml:space="preserve"> sind in Tabelle 2 und 4 zusammengefasst. </w:t>
      </w:r>
      <w:r w:rsidR="00065ED2">
        <w:t>In der Challenge-Studie waren 79,8</w:t>
      </w:r>
      <w:r w:rsidR="000E77F0">
        <w:t> </w:t>
      </w:r>
      <w:r w:rsidR="00065ED2">
        <w:t>%</w:t>
      </w:r>
      <w:r w:rsidR="009E0BCA">
        <w:t xml:space="preserve"> der Teilnehmer 7</w:t>
      </w:r>
      <w:r w:rsidR="006B37EF">
        <w:t> </w:t>
      </w:r>
      <w:r w:rsidR="009E0BCA">
        <w:t xml:space="preserve">Tage nach der Impfung </w:t>
      </w:r>
      <w:proofErr w:type="spellStart"/>
      <w:r w:rsidR="009E0BCA">
        <w:t>serokonvertiert</w:t>
      </w:r>
      <w:proofErr w:type="spellEnd"/>
      <w:r w:rsidR="009E0BCA">
        <w:t xml:space="preserve">. </w:t>
      </w:r>
      <w:r>
        <w:t xml:space="preserve">Die </w:t>
      </w:r>
      <w:proofErr w:type="spellStart"/>
      <w:r>
        <w:t>Serokonversionsraten</w:t>
      </w:r>
      <w:proofErr w:type="spellEnd"/>
      <w:r>
        <w:t xml:space="preserve"> von älteren Menschen sowie Kindern und Jugendlichen waren im Vergleich zu der von jüngeren Erwachsenen nicht </w:t>
      </w:r>
      <w:r w:rsidR="00D9269A">
        <w:t>unterlegen</w:t>
      </w:r>
      <w:r>
        <w:t>.</w:t>
      </w:r>
    </w:p>
    <w:p w14:paraId="6691A594" w14:textId="77777777" w:rsidR="008B7366" w:rsidRDefault="008B7366"/>
    <w:p w14:paraId="7C8A0B2F" w14:textId="77777777" w:rsidR="008B7366" w:rsidRDefault="009866CA">
      <w:r>
        <w:t>Im Rahmen der drei Studien mit Erwachsenen wurden signifikante Anstiege des Prozentsatzes der Anti-O1-</w:t>
      </w:r>
      <w:proofErr w:type="gramStart"/>
      <w:r>
        <w:t>Lipopolysaccharid(</w:t>
      </w:r>
      <w:proofErr w:type="gramEnd"/>
      <w:r>
        <w:t>LPS)-</w:t>
      </w:r>
      <w:proofErr w:type="spellStart"/>
      <w:r>
        <w:t>IgA</w:t>
      </w:r>
      <w:proofErr w:type="spellEnd"/>
      <w:r>
        <w:t xml:space="preserve">- und </w:t>
      </w:r>
      <w:proofErr w:type="spellStart"/>
      <w:r>
        <w:t>IgG</w:t>
      </w:r>
      <w:proofErr w:type="spellEnd"/>
      <w:r>
        <w:noBreakHyphen/>
        <w:t>B</w:t>
      </w:r>
      <w:r>
        <w:noBreakHyphen/>
        <w:t>Gedächtniszellen und der Anti-Cholera-Toxin-</w:t>
      </w:r>
      <w:proofErr w:type="spellStart"/>
      <w:r>
        <w:t>IgG</w:t>
      </w:r>
      <w:proofErr w:type="spellEnd"/>
      <w:r>
        <w:noBreakHyphen/>
        <w:t>B</w:t>
      </w:r>
      <w:r>
        <w:noBreakHyphen/>
        <w:t>Gedächtniszellen 90 und 180 Tage nach der Impfung beobachtet. Es wurde kein Zusammenhang zwischen Alter und B</w:t>
      </w:r>
      <w:r>
        <w:noBreakHyphen/>
        <w:t>Gedächtniszellen-Antwort festgestellt. Geometrische Mittel der Titer (GMT) der Serum-Antikörper gegen Vibrionen bei geimpften Studienteilnehmern waren 90 und 180 Tage nach der Immunisierung in allen Altersgruppen höher als die GMT der mit Placebo geimpften Studienteilnehmer. Die Dauer des Schutzes ist nicht bekannt.</w:t>
      </w:r>
    </w:p>
    <w:p w14:paraId="56DC03E8" w14:textId="77777777" w:rsidR="008B7366" w:rsidRDefault="008B7366"/>
    <w:p w14:paraId="518EC29B" w14:textId="596321CD" w:rsidR="008B7366" w:rsidRDefault="009866CA" w:rsidP="001B5904">
      <w:pPr>
        <w:pStyle w:val="TableTitle"/>
        <w:ind w:left="1134" w:hanging="1134"/>
      </w:pPr>
      <w:r>
        <w:t>Tabelle 2:</w:t>
      </w:r>
      <w:r w:rsidR="001B5904">
        <w:tab/>
      </w:r>
      <w:proofErr w:type="spellStart"/>
      <w:r>
        <w:t>Vibriozidale</w:t>
      </w:r>
      <w:proofErr w:type="spellEnd"/>
      <w:r>
        <w:t xml:space="preserve"> Antikörper-</w:t>
      </w:r>
      <w:proofErr w:type="spellStart"/>
      <w:r>
        <w:t>Serokonversion</w:t>
      </w:r>
      <w:proofErr w:type="spellEnd"/>
      <w:r>
        <w:t xml:space="preserve"> infolge einer Belastung mit dem klassischen </w:t>
      </w:r>
      <w:r>
        <w:rPr>
          <w:rStyle w:val="Emphasis"/>
        </w:rPr>
        <w:t>V</w:t>
      </w:r>
      <w:r w:rsidR="006B37EF">
        <w:rPr>
          <w:rStyle w:val="Emphasis"/>
        </w:rPr>
        <w:t>ibrio</w:t>
      </w:r>
      <w:r>
        <w:t> </w:t>
      </w:r>
      <w:r>
        <w:rPr>
          <w:rStyle w:val="Emphasis"/>
        </w:rPr>
        <w:t>cholerae</w:t>
      </w:r>
      <w:r>
        <w:t>-</w:t>
      </w:r>
      <w:proofErr w:type="spellStart"/>
      <w:r>
        <w:t>Inaba</w:t>
      </w:r>
      <w:proofErr w:type="spellEnd"/>
      <w:r>
        <w:t>-Impfstoffstamm 10 Tage nach der Impfung von Erwachsenen</w:t>
      </w:r>
    </w:p>
    <w:p w14:paraId="6CCCA0A7" w14:textId="77777777" w:rsidR="008B7366" w:rsidRDefault="008B7366" w:rsidP="001C6802">
      <w:pPr>
        <w:keepNext/>
      </w:pPr>
    </w:p>
    <w:tbl>
      <w:tblPr>
        <w:tblW w:w="930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68"/>
        <w:gridCol w:w="869"/>
        <w:gridCol w:w="1843"/>
        <w:gridCol w:w="850"/>
        <w:gridCol w:w="1703"/>
        <w:gridCol w:w="2373"/>
      </w:tblGrid>
      <w:tr w:rsidR="008B7366" w:rsidRPr="00DD45B1" w14:paraId="72A5005C" w14:textId="77777777" w:rsidTr="001C6802">
        <w:tc>
          <w:tcPr>
            <w:tcW w:w="1668" w:type="dxa"/>
            <w:tcBorders>
              <w:top w:val="single" w:sz="12" w:space="0" w:color="auto"/>
              <w:bottom w:val="nil"/>
            </w:tcBorders>
            <w:shd w:val="clear" w:color="auto" w:fill="auto"/>
            <w:vAlign w:val="bottom"/>
          </w:tcPr>
          <w:p w14:paraId="013C198A" w14:textId="77777777" w:rsidR="008B7366" w:rsidRPr="00DD45B1" w:rsidRDefault="009866CA" w:rsidP="001C6802">
            <w:pPr>
              <w:pStyle w:val="Normal10pt0"/>
              <w:keepNext/>
              <w:ind w:left="0" w:firstLine="0"/>
              <w:jc w:val="center"/>
              <w:rPr>
                <w:rStyle w:val="Strong"/>
                <w:sz w:val="22"/>
              </w:rPr>
            </w:pPr>
            <w:r w:rsidRPr="006B1EDF">
              <w:rPr>
                <w:rStyle w:val="Strong"/>
                <w:sz w:val="22"/>
              </w:rPr>
              <w:t>Studie</w:t>
            </w:r>
          </w:p>
        </w:tc>
        <w:tc>
          <w:tcPr>
            <w:tcW w:w="2712" w:type="dxa"/>
            <w:gridSpan w:val="2"/>
            <w:tcBorders>
              <w:top w:val="single" w:sz="12" w:space="0" w:color="auto"/>
              <w:bottom w:val="nil"/>
            </w:tcBorders>
            <w:shd w:val="clear" w:color="auto" w:fill="auto"/>
            <w:vAlign w:val="bottom"/>
          </w:tcPr>
          <w:p w14:paraId="79AC61C6" w14:textId="77777777" w:rsidR="008B7366" w:rsidRPr="006B1EDF" w:rsidRDefault="009866CA" w:rsidP="001C6802">
            <w:pPr>
              <w:pStyle w:val="Normal10pt0"/>
              <w:keepNext/>
              <w:ind w:left="0" w:firstLine="0"/>
              <w:jc w:val="center"/>
              <w:rPr>
                <w:rStyle w:val="Strong"/>
                <w:sz w:val="22"/>
              </w:rPr>
            </w:pPr>
            <w:r w:rsidRPr="006B1EDF">
              <w:rPr>
                <w:rStyle w:val="Strong"/>
                <w:sz w:val="22"/>
              </w:rPr>
              <w:t xml:space="preserve">Mit </w:t>
            </w:r>
            <w:proofErr w:type="spellStart"/>
            <w:r w:rsidRPr="006B1EDF">
              <w:rPr>
                <w:rStyle w:val="Strong"/>
                <w:sz w:val="22"/>
              </w:rPr>
              <w:t>Vaxchora</w:t>
            </w:r>
            <w:proofErr w:type="spellEnd"/>
            <w:r w:rsidRPr="006B1EDF">
              <w:rPr>
                <w:rStyle w:val="Strong"/>
                <w:sz w:val="22"/>
              </w:rPr>
              <w:t xml:space="preserve"> geimpfte Studienteilnehmer</w:t>
            </w:r>
          </w:p>
        </w:tc>
        <w:tc>
          <w:tcPr>
            <w:tcW w:w="2553" w:type="dxa"/>
            <w:gridSpan w:val="2"/>
            <w:tcBorders>
              <w:top w:val="single" w:sz="12" w:space="0" w:color="auto"/>
              <w:bottom w:val="nil"/>
            </w:tcBorders>
            <w:shd w:val="clear" w:color="auto" w:fill="auto"/>
            <w:vAlign w:val="bottom"/>
          </w:tcPr>
          <w:p w14:paraId="652FF44C" w14:textId="77777777" w:rsidR="008B7366" w:rsidRPr="006B1EDF" w:rsidRDefault="009866CA" w:rsidP="001C6802">
            <w:pPr>
              <w:pStyle w:val="Normal10pt0"/>
              <w:keepNext/>
              <w:ind w:left="0" w:firstLine="0"/>
              <w:jc w:val="center"/>
              <w:rPr>
                <w:rStyle w:val="Strong"/>
                <w:sz w:val="22"/>
              </w:rPr>
            </w:pPr>
            <w:r w:rsidRPr="006B1EDF">
              <w:rPr>
                <w:rStyle w:val="Strong"/>
                <w:sz w:val="22"/>
              </w:rPr>
              <w:t>Mit Placebo geimpfte Studienteilnehmer</w:t>
            </w:r>
          </w:p>
        </w:tc>
        <w:tc>
          <w:tcPr>
            <w:tcW w:w="2373" w:type="dxa"/>
            <w:tcBorders>
              <w:top w:val="single" w:sz="12" w:space="0" w:color="auto"/>
              <w:bottom w:val="nil"/>
            </w:tcBorders>
            <w:shd w:val="clear" w:color="auto" w:fill="auto"/>
            <w:vAlign w:val="bottom"/>
          </w:tcPr>
          <w:p w14:paraId="7BBBE74A" w14:textId="716B6378" w:rsidR="008B7366" w:rsidRPr="006B1EDF" w:rsidRDefault="009866CA" w:rsidP="001C6802">
            <w:pPr>
              <w:pStyle w:val="Normal10pt0"/>
              <w:keepNext/>
              <w:ind w:left="0" w:firstLine="0"/>
              <w:jc w:val="center"/>
              <w:rPr>
                <w:rStyle w:val="Strong"/>
                <w:sz w:val="22"/>
              </w:rPr>
            </w:pPr>
            <w:r w:rsidRPr="006B1EDF">
              <w:rPr>
                <w:rStyle w:val="Strong"/>
                <w:sz w:val="22"/>
              </w:rPr>
              <w:t>Immuno-</w:t>
            </w:r>
            <w:proofErr w:type="spellStart"/>
            <w:r w:rsidRPr="006B1EDF">
              <w:rPr>
                <w:rStyle w:val="Strong"/>
                <w:sz w:val="22"/>
              </w:rPr>
              <w:t>Bridging</w:t>
            </w:r>
            <w:proofErr w:type="spellEnd"/>
            <w:r w:rsidRPr="006B1EDF">
              <w:rPr>
                <w:rStyle w:val="Strong"/>
                <w:sz w:val="22"/>
              </w:rPr>
              <w:t xml:space="preserve">: Unterschied bei der </w:t>
            </w:r>
            <w:proofErr w:type="spellStart"/>
            <w:r w:rsidRPr="006B1EDF">
              <w:rPr>
                <w:rStyle w:val="Strong"/>
                <w:sz w:val="22"/>
              </w:rPr>
              <w:t>Serokonversionsrate</w:t>
            </w:r>
            <w:proofErr w:type="spellEnd"/>
            <w:r w:rsidRPr="006B1EDF">
              <w:rPr>
                <w:rStyle w:val="Strong"/>
                <w:sz w:val="22"/>
              </w:rPr>
              <w:t xml:space="preserve"> im Vergleich zu Studie</w:t>
            </w:r>
            <w:r w:rsidR="00DD45B1">
              <w:rPr>
                <w:rStyle w:val="Strong"/>
                <w:sz w:val="22"/>
              </w:rPr>
              <w:t> 3</w:t>
            </w:r>
            <w:r w:rsidRPr="006B1EDF">
              <w:rPr>
                <w:rStyle w:val="Strong"/>
                <w:sz w:val="22"/>
              </w:rPr>
              <w:t xml:space="preserve"> mit Erwachsenen im Alter von 18</w:t>
            </w:r>
            <w:r w:rsidRPr="006B1EDF">
              <w:rPr>
                <w:rStyle w:val="Strong"/>
                <w:sz w:val="22"/>
              </w:rPr>
              <w:noBreakHyphen/>
              <w:t>45 Jahren</w:t>
            </w:r>
          </w:p>
        </w:tc>
      </w:tr>
      <w:tr w:rsidR="008B7366" w:rsidRPr="00DD45B1" w14:paraId="043BBFD9" w14:textId="77777777" w:rsidTr="001C6802">
        <w:tc>
          <w:tcPr>
            <w:tcW w:w="1668" w:type="dxa"/>
            <w:tcBorders>
              <w:top w:val="nil"/>
              <w:bottom w:val="single" w:sz="12" w:space="0" w:color="auto"/>
            </w:tcBorders>
            <w:shd w:val="clear" w:color="auto" w:fill="auto"/>
            <w:vAlign w:val="bottom"/>
          </w:tcPr>
          <w:p w14:paraId="3F0BBAA4" w14:textId="77777777" w:rsidR="008B7366" w:rsidRPr="006B1EDF" w:rsidRDefault="009866CA" w:rsidP="001C6802">
            <w:pPr>
              <w:pStyle w:val="Normal10pt0"/>
              <w:keepNext/>
              <w:ind w:left="0" w:firstLine="0"/>
              <w:jc w:val="center"/>
              <w:rPr>
                <w:sz w:val="22"/>
              </w:rPr>
            </w:pPr>
            <w:r w:rsidRPr="006B1EDF">
              <w:rPr>
                <w:sz w:val="22"/>
              </w:rPr>
              <w:t>(Alter in Jahren)</w:t>
            </w:r>
          </w:p>
        </w:tc>
        <w:tc>
          <w:tcPr>
            <w:tcW w:w="869" w:type="dxa"/>
            <w:tcBorders>
              <w:top w:val="nil"/>
              <w:bottom w:val="single" w:sz="12" w:space="0" w:color="auto"/>
            </w:tcBorders>
            <w:shd w:val="clear" w:color="auto" w:fill="auto"/>
            <w:vAlign w:val="bottom"/>
          </w:tcPr>
          <w:p w14:paraId="4003EABD" w14:textId="77777777" w:rsidR="008B7366" w:rsidRPr="006B1EDF" w:rsidRDefault="009866CA" w:rsidP="001C6802">
            <w:pPr>
              <w:pStyle w:val="Normal10pt0"/>
              <w:keepNext/>
              <w:ind w:left="0" w:firstLine="0"/>
              <w:jc w:val="center"/>
              <w:rPr>
                <w:sz w:val="22"/>
              </w:rPr>
            </w:pPr>
            <w:r w:rsidRPr="006B1EDF">
              <w:rPr>
                <w:sz w:val="22"/>
              </w:rPr>
              <w:t>N</w:t>
            </w:r>
            <w:r w:rsidRPr="006B1EDF">
              <w:rPr>
                <w:rStyle w:val="Superscript"/>
                <w:sz w:val="22"/>
              </w:rPr>
              <w:t>b</w:t>
            </w:r>
          </w:p>
        </w:tc>
        <w:tc>
          <w:tcPr>
            <w:tcW w:w="1843" w:type="dxa"/>
            <w:tcBorders>
              <w:top w:val="nil"/>
              <w:bottom w:val="single" w:sz="12" w:space="0" w:color="auto"/>
            </w:tcBorders>
            <w:shd w:val="clear" w:color="auto" w:fill="auto"/>
            <w:vAlign w:val="bottom"/>
          </w:tcPr>
          <w:p w14:paraId="7151213C" w14:textId="77777777" w:rsidR="008B7366" w:rsidRPr="006B1EDF" w:rsidRDefault="009866CA" w:rsidP="001C6802">
            <w:pPr>
              <w:pStyle w:val="Normal10pt0"/>
              <w:keepNext/>
              <w:ind w:left="0" w:firstLine="0"/>
              <w:jc w:val="center"/>
              <w:rPr>
                <w:sz w:val="22"/>
              </w:rPr>
            </w:pPr>
            <w:proofErr w:type="spellStart"/>
            <w:r w:rsidRPr="006B1EDF">
              <w:rPr>
                <w:sz w:val="22"/>
              </w:rPr>
              <w:t>Serokonversion</w:t>
            </w:r>
            <w:r w:rsidRPr="006B1EDF">
              <w:rPr>
                <w:rStyle w:val="Superscript"/>
                <w:sz w:val="22"/>
              </w:rPr>
              <w:t>a</w:t>
            </w:r>
            <w:proofErr w:type="spellEnd"/>
          </w:p>
          <w:p w14:paraId="5074ED10" w14:textId="77777777" w:rsidR="008B7366" w:rsidRPr="006B1EDF" w:rsidRDefault="009866CA" w:rsidP="001C6802">
            <w:pPr>
              <w:pStyle w:val="Normal10pt0"/>
              <w:keepNext/>
              <w:ind w:left="0" w:firstLine="0"/>
              <w:jc w:val="center"/>
              <w:rPr>
                <w:sz w:val="22"/>
              </w:rPr>
            </w:pPr>
            <w:r w:rsidRPr="006B1EDF">
              <w:rPr>
                <w:sz w:val="22"/>
              </w:rPr>
              <w:t>%</w:t>
            </w:r>
          </w:p>
          <w:p w14:paraId="30B758CD" w14:textId="3FD3ED1A" w:rsidR="008B7366" w:rsidRPr="006B1EDF" w:rsidRDefault="009866CA" w:rsidP="001C6802">
            <w:pPr>
              <w:pStyle w:val="Normal10pt0"/>
              <w:keepNext/>
              <w:ind w:left="0" w:firstLine="0"/>
              <w:jc w:val="center"/>
              <w:rPr>
                <w:sz w:val="22"/>
              </w:rPr>
            </w:pPr>
            <w:r w:rsidRPr="006B1EDF">
              <w:rPr>
                <w:sz w:val="22"/>
              </w:rPr>
              <w:t>[95%</w:t>
            </w:r>
            <w:r w:rsidR="00827385">
              <w:rPr>
                <w:sz w:val="22"/>
              </w:rPr>
              <w:noBreakHyphen/>
            </w:r>
            <w:r w:rsidRPr="006B1EDF">
              <w:rPr>
                <w:sz w:val="22"/>
              </w:rPr>
              <w:t>KI]</w:t>
            </w:r>
          </w:p>
        </w:tc>
        <w:tc>
          <w:tcPr>
            <w:tcW w:w="850" w:type="dxa"/>
            <w:tcBorders>
              <w:top w:val="nil"/>
              <w:bottom w:val="single" w:sz="12" w:space="0" w:color="auto"/>
            </w:tcBorders>
            <w:shd w:val="clear" w:color="auto" w:fill="auto"/>
            <w:vAlign w:val="bottom"/>
          </w:tcPr>
          <w:p w14:paraId="04D69016" w14:textId="77777777" w:rsidR="008B7366" w:rsidRPr="006B1EDF" w:rsidRDefault="009866CA" w:rsidP="001C6802">
            <w:pPr>
              <w:pStyle w:val="Normal10pt0"/>
              <w:keepNext/>
              <w:ind w:left="0" w:firstLine="0"/>
              <w:jc w:val="center"/>
              <w:rPr>
                <w:sz w:val="22"/>
              </w:rPr>
            </w:pPr>
            <w:r w:rsidRPr="006B1EDF">
              <w:rPr>
                <w:sz w:val="22"/>
              </w:rPr>
              <w:t>N</w:t>
            </w:r>
            <w:r w:rsidRPr="006B1EDF">
              <w:rPr>
                <w:rStyle w:val="Superscript"/>
                <w:sz w:val="22"/>
              </w:rPr>
              <w:t>b</w:t>
            </w:r>
          </w:p>
        </w:tc>
        <w:tc>
          <w:tcPr>
            <w:tcW w:w="1703" w:type="dxa"/>
            <w:tcBorders>
              <w:top w:val="nil"/>
              <w:bottom w:val="single" w:sz="12" w:space="0" w:color="auto"/>
            </w:tcBorders>
            <w:shd w:val="clear" w:color="auto" w:fill="auto"/>
            <w:vAlign w:val="bottom"/>
          </w:tcPr>
          <w:p w14:paraId="366246C7" w14:textId="77777777" w:rsidR="008B7366" w:rsidRPr="006B1EDF" w:rsidRDefault="009866CA" w:rsidP="001C6802">
            <w:pPr>
              <w:pStyle w:val="Normal10pt0"/>
              <w:keepNext/>
              <w:ind w:left="0" w:firstLine="0"/>
              <w:jc w:val="center"/>
              <w:rPr>
                <w:sz w:val="22"/>
              </w:rPr>
            </w:pPr>
            <w:proofErr w:type="spellStart"/>
            <w:r w:rsidRPr="006B1EDF">
              <w:rPr>
                <w:sz w:val="22"/>
              </w:rPr>
              <w:t>Serokonversion</w:t>
            </w:r>
            <w:r w:rsidRPr="006B1EDF">
              <w:rPr>
                <w:rStyle w:val="Superscript"/>
                <w:sz w:val="22"/>
              </w:rPr>
              <w:t>a</w:t>
            </w:r>
            <w:proofErr w:type="spellEnd"/>
          </w:p>
          <w:p w14:paraId="73420F44" w14:textId="77777777" w:rsidR="008B7366" w:rsidRPr="006B1EDF" w:rsidRDefault="009866CA" w:rsidP="001C6802">
            <w:pPr>
              <w:pStyle w:val="Normal10pt0"/>
              <w:keepNext/>
              <w:ind w:left="0" w:firstLine="0"/>
              <w:jc w:val="center"/>
              <w:rPr>
                <w:sz w:val="22"/>
              </w:rPr>
            </w:pPr>
            <w:r w:rsidRPr="006B1EDF">
              <w:rPr>
                <w:sz w:val="22"/>
              </w:rPr>
              <w:t>%</w:t>
            </w:r>
          </w:p>
          <w:p w14:paraId="48508EC7" w14:textId="403BD7AF" w:rsidR="008B7366" w:rsidRPr="006B1EDF" w:rsidRDefault="009866CA" w:rsidP="001C6802">
            <w:pPr>
              <w:pStyle w:val="Normal10pt0"/>
              <w:keepNext/>
              <w:ind w:left="0" w:firstLine="0"/>
              <w:jc w:val="center"/>
              <w:rPr>
                <w:sz w:val="22"/>
              </w:rPr>
            </w:pPr>
            <w:r w:rsidRPr="006B1EDF">
              <w:rPr>
                <w:sz w:val="22"/>
              </w:rPr>
              <w:t>[95%</w:t>
            </w:r>
            <w:r w:rsidR="00827385">
              <w:rPr>
                <w:sz w:val="22"/>
              </w:rPr>
              <w:noBreakHyphen/>
            </w:r>
            <w:proofErr w:type="spellStart"/>
            <w:r w:rsidRPr="006B1EDF">
              <w:rPr>
                <w:sz w:val="22"/>
              </w:rPr>
              <w:t>KI</w:t>
            </w:r>
            <w:r w:rsidRPr="006B1EDF">
              <w:rPr>
                <w:rStyle w:val="Superscript"/>
                <w:sz w:val="22"/>
              </w:rPr>
              <w:t>c</w:t>
            </w:r>
            <w:proofErr w:type="spellEnd"/>
            <w:r w:rsidRPr="006B1EDF">
              <w:rPr>
                <w:sz w:val="22"/>
              </w:rPr>
              <w:t>]</w:t>
            </w:r>
          </w:p>
        </w:tc>
        <w:tc>
          <w:tcPr>
            <w:tcW w:w="2373" w:type="dxa"/>
            <w:tcBorders>
              <w:top w:val="nil"/>
              <w:bottom w:val="single" w:sz="12" w:space="0" w:color="auto"/>
            </w:tcBorders>
            <w:shd w:val="clear" w:color="auto" w:fill="auto"/>
            <w:vAlign w:val="bottom"/>
          </w:tcPr>
          <w:p w14:paraId="5582317F" w14:textId="77777777" w:rsidR="008B7366" w:rsidRPr="006B1EDF" w:rsidRDefault="009866CA" w:rsidP="001C6802">
            <w:pPr>
              <w:pStyle w:val="Normal10pt0"/>
              <w:keepNext/>
              <w:ind w:left="0" w:firstLine="0"/>
              <w:jc w:val="center"/>
              <w:rPr>
                <w:sz w:val="22"/>
              </w:rPr>
            </w:pPr>
            <w:r w:rsidRPr="006B1EDF">
              <w:rPr>
                <w:sz w:val="22"/>
              </w:rPr>
              <w:t>%</w:t>
            </w:r>
            <w:r w:rsidRPr="006B1EDF">
              <w:rPr>
                <w:rStyle w:val="Superscript"/>
                <w:sz w:val="22"/>
              </w:rPr>
              <w:t>d</w:t>
            </w:r>
          </w:p>
          <w:p w14:paraId="7EB1C0BB" w14:textId="52CE3B3A" w:rsidR="008B7366" w:rsidRPr="006B1EDF" w:rsidRDefault="009866CA" w:rsidP="001C6802">
            <w:pPr>
              <w:pStyle w:val="Normal10pt0"/>
              <w:keepNext/>
              <w:ind w:left="0" w:firstLine="0"/>
              <w:jc w:val="center"/>
              <w:rPr>
                <w:sz w:val="22"/>
              </w:rPr>
            </w:pPr>
            <w:r w:rsidRPr="006B1EDF">
              <w:rPr>
                <w:sz w:val="22"/>
              </w:rPr>
              <w:t>[95%</w:t>
            </w:r>
            <w:r w:rsidR="00827385">
              <w:rPr>
                <w:sz w:val="22"/>
              </w:rPr>
              <w:t>&lt;-</w:t>
            </w:r>
            <w:proofErr w:type="spellStart"/>
            <w:r w:rsidRPr="006B1EDF">
              <w:rPr>
                <w:sz w:val="22"/>
              </w:rPr>
              <w:t>KI</w:t>
            </w:r>
            <w:r w:rsidRPr="006B1EDF">
              <w:rPr>
                <w:rStyle w:val="Superscript"/>
                <w:sz w:val="22"/>
              </w:rPr>
              <w:t>c</w:t>
            </w:r>
            <w:proofErr w:type="spellEnd"/>
            <w:r w:rsidRPr="006B1EDF">
              <w:rPr>
                <w:sz w:val="22"/>
              </w:rPr>
              <w:t>]</w:t>
            </w:r>
          </w:p>
        </w:tc>
      </w:tr>
      <w:tr w:rsidR="008B7366" w:rsidRPr="00DD45B1" w14:paraId="60E7CF91" w14:textId="77777777" w:rsidTr="001C6802">
        <w:tc>
          <w:tcPr>
            <w:tcW w:w="1668" w:type="dxa"/>
            <w:tcBorders>
              <w:top w:val="single" w:sz="12" w:space="0" w:color="auto"/>
            </w:tcBorders>
            <w:shd w:val="clear" w:color="auto" w:fill="auto"/>
          </w:tcPr>
          <w:p w14:paraId="033B8954" w14:textId="77777777" w:rsidR="008B7366" w:rsidRPr="006B1EDF" w:rsidRDefault="009866CA" w:rsidP="001C6802">
            <w:pPr>
              <w:pStyle w:val="Normal10pt0"/>
              <w:keepNext/>
              <w:ind w:left="0" w:firstLine="0"/>
              <w:jc w:val="center"/>
              <w:rPr>
                <w:sz w:val="22"/>
              </w:rPr>
            </w:pPr>
            <w:r w:rsidRPr="006B1EDF">
              <w:rPr>
                <w:sz w:val="22"/>
              </w:rPr>
              <w:t>Challenge-Studie</w:t>
            </w:r>
          </w:p>
          <w:p w14:paraId="1E101669" w14:textId="4CC2F411" w:rsidR="008B7366" w:rsidRPr="006B1EDF" w:rsidRDefault="009866CA" w:rsidP="001C6802">
            <w:pPr>
              <w:pStyle w:val="Normal10pt0"/>
              <w:keepNext/>
              <w:ind w:left="0" w:firstLine="0"/>
              <w:jc w:val="center"/>
              <w:rPr>
                <w:sz w:val="22"/>
              </w:rPr>
            </w:pPr>
            <w:r w:rsidRPr="006B1EDF">
              <w:rPr>
                <w:sz w:val="22"/>
              </w:rPr>
              <w:t>(18</w:t>
            </w:r>
            <w:r w:rsidR="00363D29">
              <w:rPr>
                <w:sz w:val="22"/>
              </w:rPr>
              <w:noBreakHyphen/>
            </w:r>
            <w:r w:rsidRPr="006B1EDF">
              <w:rPr>
                <w:sz w:val="22"/>
              </w:rPr>
              <w:t>45)</w:t>
            </w:r>
          </w:p>
        </w:tc>
        <w:tc>
          <w:tcPr>
            <w:tcW w:w="869" w:type="dxa"/>
            <w:tcBorders>
              <w:top w:val="single" w:sz="12" w:space="0" w:color="auto"/>
            </w:tcBorders>
            <w:shd w:val="clear" w:color="auto" w:fill="auto"/>
          </w:tcPr>
          <w:p w14:paraId="6A388B24" w14:textId="77777777" w:rsidR="008B7366" w:rsidRPr="006B1EDF" w:rsidRDefault="009866CA" w:rsidP="001C6802">
            <w:pPr>
              <w:pStyle w:val="Normal10pt0"/>
              <w:keepNext/>
              <w:ind w:left="0" w:firstLine="0"/>
              <w:jc w:val="center"/>
              <w:rPr>
                <w:sz w:val="22"/>
              </w:rPr>
            </w:pPr>
            <w:r w:rsidRPr="006B1EDF">
              <w:rPr>
                <w:sz w:val="22"/>
              </w:rPr>
              <w:t>93</w:t>
            </w:r>
          </w:p>
        </w:tc>
        <w:tc>
          <w:tcPr>
            <w:tcW w:w="1843" w:type="dxa"/>
            <w:tcBorders>
              <w:top w:val="single" w:sz="12" w:space="0" w:color="auto"/>
            </w:tcBorders>
            <w:shd w:val="clear" w:color="auto" w:fill="auto"/>
          </w:tcPr>
          <w:p w14:paraId="163EE27C" w14:textId="3A527607" w:rsidR="008B7366" w:rsidRPr="006B1EDF" w:rsidRDefault="009866CA" w:rsidP="001C6802">
            <w:pPr>
              <w:pStyle w:val="Normal10pt0"/>
              <w:keepNext/>
              <w:ind w:left="0" w:firstLine="0"/>
              <w:jc w:val="center"/>
              <w:rPr>
                <w:sz w:val="22"/>
              </w:rPr>
            </w:pPr>
            <w:r w:rsidRPr="006B1EDF">
              <w:rPr>
                <w:sz w:val="22"/>
              </w:rPr>
              <w:t>90,3</w:t>
            </w:r>
            <w:r w:rsidR="00133011">
              <w:rPr>
                <w:sz w:val="22"/>
              </w:rPr>
              <w:t> </w:t>
            </w:r>
            <w:r w:rsidRPr="006B1EDF">
              <w:rPr>
                <w:sz w:val="22"/>
              </w:rPr>
              <w:t>%</w:t>
            </w:r>
          </w:p>
          <w:p w14:paraId="058372F0" w14:textId="0DB9C0AF" w:rsidR="008B7366" w:rsidRPr="006B1EDF" w:rsidRDefault="009866CA" w:rsidP="001C6802">
            <w:pPr>
              <w:pStyle w:val="Normal10pt0"/>
              <w:keepNext/>
              <w:ind w:left="0" w:firstLine="0"/>
              <w:jc w:val="center"/>
              <w:rPr>
                <w:sz w:val="22"/>
              </w:rPr>
            </w:pPr>
            <w:r w:rsidRPr="006B1EDF">
              <w:rPr>
                <w:sz w:val="22"/>
              </w:rPr>
              <w:t>[82,4</w:t>
            </w:r>
            <w:r w:rsidR="00133011">
              <w:rPr>
                <w:sz w:val="22"/>
              </w:rPr>
              <w:t> </w:t>
            </w:r>
            <w:r w:rsidRPr="006B1EDF">
              <w:rPr>
                <w:sz w:val="22"/>
              </w:rPr>
              <w:t>%, 95,5</w:t>
            </w:r>
            <w:r w:rsidR="00133011">
              <w:rPr>
                <w:sz w:val="22"/>
              </w:rPr>
              <w:t> </w:t>
            </w:r>
            <w:r w:rsidRPr="006B1EDF">
              <w:rPr>
                <w:sz w:val="22"/>
              </w:rPr>
              <w:t>%]</w:t>
            </w:r>
          </w:p>
        </w:tc>
        <w:tc>
          <w:tcPr>
            <w:tcW w:w="850" w:type="dxa"/>
            <w:tcBorders>
              <w:top w:val="single" w:sz="12" w:space="0" w:color="auto"/>
            </w:tcBorders>
            <w:shd w:val="clear" w:color="auto" w:fill="auto"/>
          </w:tcPr>
          <w:p w14:paraId="1EDD0408" w14:textId="77777777" w:rsidR="008B7366" w:rsidRPr="006B1EDF" w:rsidRDefault="009866CA" w:rsidP="001C6802">
            <w:pPr>
              <w:pStyle w:val="Normal10pt0"/>
              <w:keepNext/>
              <w:ind w:left="0" w:firstLine="0"/>
              <w:jc w:val="center"/>
              <w:rPr>
                <w:sz w:val="22"/>
              </w:rPr>
            </w:pPr>
            <w:r w:rsidRPr="006B1EDF">
              <w:rPr>
                <w:sz w:val="22"/>
              </w:rPr>
              <w:t>102</w:t>
            </w:r>
          </w:p>
        </w:tc>
        <w:tc>
          <w:tcPr>
            <w:tcW w:w="1703" w:type="dxa"/>
            <w:tcBorders>
              <w:top w:val="single" w:sz="12" w:space="0" w:color="auto"/>
            </w:tcBorders>
            <w:shd w:val="clear" w:color="auto" w:fill="auto"/>
          </w:tcPr>
          <w:p w14:paraId="1FF06C24" w14:textId="73BB0C38" w:rsidR="008B7366" w:rsidRPr="006B1EDF" w:rsidRDefault="009866CA" w:rsidP="001C6802">
            <w:pPr>
              <w:pStyle w:val="Normal10pt0"/>
              <w:keepNext/>
              <w:ind w:left="0" w:firstLine="0"/>
              <w:jc w:val="center"/>
              <w:rPr>
                <w:sz w:val="22"/>
              </w:rPr>
            </w:pPr>
            <w:r w:rsidRPr="006B1EDF">
              <w:rPr>
                <w:sz w:val="22"/>
              </w:rPr>
              <w:t>2,0</w:t>
            </w:r>
            <w:r w:rsidR="00133011">
              <w:rPr>
                <w:sz w:val="22"/>
              </w:rPr>
              <w:t> </w:t>
            </w:r>
            <w:r w:rsidRPr="006B1EDF">
              <w:rPr>
                <w:sz w:val="22"/>
              </w:rPr>
              <w:t>%</w:t>
            </w:r>
          </w:p>
          <w:p w14:paraId="6571749F" w14:textId="7297514D" w:rsidR="008B7366" w:rsidRPr="006B1EDF" w:rsidRDefault="009866CA" w:rsidP="001C6802">
            <w:pPr>
              <w:pStyle w:val="Normal10pt0"/>
              <w:keepNext/>
              <w:ind w:left="0" w:firstLine="0"/>
              <w:jc w:val="center"/>
              <w:rPr>
                <w:sz w:val="22"/>
              </w:rPr>
            </w:pPr>
            <w:r w:rsidRPr="006B1EDF">
              <w:rPr>
                <w:sz w:val="22"/>
              </w:rPr>
              <w:t>[0,2</w:t>
            </w:r>
            <w:r w:rsidR="00133011">
              <w:rPr>
                <w:sz w:val="22"/>
              </w:rPr>
              <w:t> </w:t>
            </w:r>
            <w:r w:rsidRPr="006B1EDF">
              <w:rPr>
                <w:sz w:val="22"/>
              </w:rPr>
              <w:t>%, 6,9</w:t>
            </w:r>
            <w:r w:rsidR="00133011">
              <w:rPr>
                <w:sz w:val="22"/>
              </w:rPr>
              <w:t> </w:t>
            </w:r>
            <w:r w:rsidRPr="006B1EDF">
              <w:rPr>
                <w:sz w:val="22"/>
              </w:rPr>
              <w:t>%]</w:t>
            </w:r>
          </w:p>
        </w:tc>
        <w:tc>
          <w:tcPr>
            <w:tcW w:w="2373" w:type="dxa"/>
            <w:tcBorders>
              <w:top w:val="single" w:sz="12" w:space="0" w:color="auto"/>
            </w:tcBorders>
            <w:shd w:val="clear" w:color="auto" w:fill="auto"/>
          </w:tcPr>
          <w:p w14:paraId="4C93E5E8" w14:textId="77777777" w:rsidR="008B7366" w:rsidRPr="006B1EDF" w:rsidRDefault="009866CA" w:rsidP="001C6802">
            <w:pPr>
              <w:pStyle w:val="Normal10pt0"/>
              <w:keepNext/>
              <w:ind w:left="0" w:firstLine="0"/>
              <w:jc w:val="center"/>
              <w:rPr>
                <w:sz w:val="22"/>
              </w:rPr>
            </w:pPr>
            <w:r w:rsidRPr="006B1EDF">
              <w:rPr>
                <w:sz w:val="22"/>
              </w:rPr>
              <w:t>-</w:t>
            </w:r>
          </w:p>
        </w:tc>
      </w:tr>
      <w:tr w:rsidR="008B7366" w:rsidRPr="00DD45B1" w14:paraId="33EDC197" w14:textId="77777777" w:rsidTr="001C6802">
        <w:tc>
          <w:tcPr>
            <w:tcW w:w="1668" w:type="dxa"/>
            <w:shd w:val="clear" w:color="auto" w:fill="auto"/>
          </w:tcPr>
          <w:p w14:paraId="3812E929" w14:textId="6E19FB67" w:rsidR="008B7366" w:rsidRPr="006B1EDF" w:rsidRDefault="009866CA" w:rsidP="001C6802">
            <w:pPr>
              <w:pStyle w:val="Normal10pt0"/>
              <w:keepNext/>
              <w:ind w:left="0" w:firstLine="0"/>
              <w:jc w:val="center"/>
              <w:rPr>
                <w:sz w:val="22"/>
              </w:rPr>
            </w:pPr>
            <w:r w:rsidRPr="006B1EDF">
              <w:rPr>
                <w:sz w:val="22"/>
              </w:rPr>
              <w:t>Studie</w:t>
            </w:r>
            <w:r w:rsidR="00245255">
              <w:rPr>
                <w:sz w:val="22"/>
              </w:rPr>
              <w:t> 3</w:t>
            </w:r>
          </w:p>
          <w:p w14:paraId="48878A8F" w14:textId="75CE8657" w:rsidR="008B7366" w:rsidRPr="006B1EDF" w:rsidRDefault="009866CA" w:rsidP="001C6802">
            <w:pPr>
              <w:pStyle w:val="Normal10pt0"/>
              <w:keepNext/>
              <w:ind w:left="0" w:firstLine="0"/>
              <w:jc w:val="center"/>
              <w:rPr>
                <w:sz w:val="22"/>
              </w:rPr>
            </w:pPr>
            <w:r w:rsidRPr="006B1EDF">
              <w:rPr>
                <w:sz w:val="22"/>
              </w:rPr>
              <w:t>(18</w:t>
            </w:r>
            <w:r w:rsidR="00363D29">
              <w:rPr>
                <w:sz w:val="22"/>
              </w:rPr>
              <w:noBreakHyphen/>
            </w:r>
            <w:r w:rsidRPr="006B1EDF">
              <w:rPr>
                <w:sz w:val="22"/>
              </w:rPr>
              <w:t>45)</w:t>
            </w:r>
          </w:p>
        </w:tc>
        <w:tc>
          <w:tcPr>
            <w:tcW w:w="869" w:type="dxa"/>
            <w:shd w:val="clear" w:color="auto" w:fill="auto"/>
          </w:tcPr>
          <w:p w14:paraId="12DB606D" w14:textId="0F04B56A" w:rsidR="008B7366" w:rsidRPr="006B1EDF" w:rsidRDefault="009866CA" w:rsidP="001C6802">
            <w:pPr>
              <w:pStyle w:val="Normal10pt0"/>
              <w:keepNext/>
              <w:ind w:left="0" w:firstLine="0"/>
              <w:jc w:val="center"/>
              <w:rPr>
                <w:sz w:val="22"/>
              </w:rPr>
            </w:pPr>
            <w:r w:rsidRPr="006B1EDF">
              <w:rPr>
                <w:sz w:val="22"/>
              </w:rPr>
              <w:t>2</w:t>
            </w:r>
            <w:r w:rsidR="00133011">
              <w:rPr>
                <w:sz w:val="22"/>
              </w:rPr>
              <w:t> </w:t>
            </w:r>
            <w:r w:rsidRPr="006B1EDF">
              <w:rPr>
                <w:sz w:val="22"/>
              </w:rPr>
              <w:t>687</w:t>
            </w:r>
          </w:p>
        </w:tc>
        <w:tc>
          <w:tcPr>
            <w:tcW w:w="1843" w:type="dxa"/>
            <w:shd w:val="clear" w:color="auto" w:fill="auto"/>
          </w:tcPr>
          <w:p w14:paraId="050EEC39" w14:textId="2641E4A4" w:rsidR="008B7366" w:rsidRPr="006B1EDF" w:rsidRDefault="009866CA" w:rsidP="001C6802">
            <w:pPr>
              <w:pStyle w:val="Normal10pt0"/>
              <w:keepNext/>
              <w:ind w:left="0" w:firstLine="0"/>
              <w:jc w:val="center"/>
              <w:rPr>
                <w:sz w:val="22"/>
              </w:rPr>
            </w:pPr>
            <w:r w:rsidRPr="006B1EDF">
              <w:rPr>
                <w:sz w:val="22"/>
              </w:rPr>
              <w:t>93,5</w:t>
            </w:r>
            <w:r w:rsidR="00133011">
              <w:rPr>
                <w:sz w:val="22"/>
              </w:rPr>
              <w:t> </w:t>
            </w:r>
            <w:r w:rsidRPr="006B1EDF">
              <w:rPr>
                <w:sz w:val="22"/>
              </w:rPr>
              <w:t>%</w:t>
            </w:r>
          </w:p>
          <w:p w14:paraId="28890A25" w14:textId="307F411B" w:rsidR="008B7366" w:rsidRPr="006B1EDF" w:rsidRDefault="009866CA" w:rsidP="001C6802">
            <w:pPr>
              <w:pStyle w:val="Normal10pt0"/>
              <w:keepNext/>
              <w:ind w:left="0" w:firstLine="0"/>
              <w:jc w:val="center"/>
              <w:rPr>
                <w:sz w:val="22"/>
              </w:rPr>
            </w:pPr>
            <w:r w:rsidRPr="006B1EDF">
              <w:rPr>
                <w:sz w:val="22"/>
              </w:rPr>
              <w:t>[92,5</w:t>
            </w:r>
            <w:r w:rsidR="00133011">
              <w:rPr>
                <w:sz w:val="22"/>
              </w:rPr>
              <w:t> </w:t>
            </w:r>
            <w:r w:rsidRPr="006B1EDF">
              <w:rPr>
                <w:sz w:val="22"/>
              </w:rPr>
              <w:t>%, 94,4</w:t>
            </w:r>
            <w:r w:rsidR="00133011">
              <w:rPr>
                <w:sz w:val="22"/>
              </w:rPr>
              <w:t> </w:t>
            </w:r>
            <w:r w:rsidRPr="006B1EDF">
              <w:rPr>
                <w:sz w:val="22"/>
              </w:rPr>
              <w:t>%]</w:t>
            </w:r>
          </w:p>
        </w:tc>
        <w:tc>
          <w:tcPr>
            <w:tcW w:w="850" w:type="dxa"/>
            <w:shd w:val="clear" w:color="auto" w:fill="auto"/>
          </w:tcPr>
          <w:p w14:paraId="2C56F334" w14:textId="77777777" w:rsidR="008B7366" w:rsidRPr="006B1EDF" w:rsidRDefault="009866CA" w:rsidP="001C6802">
            <w:pPr>
              <w:pStyle w:val="Normal10pt0"/>
              <w:keepNext/>
              <w:ind w:left="0" w:firstLine="0"/>
              <w:jc w:val="center"/>
              <w:rPr>
                <w:sz w:val="22"/>
              </w:rPr>
            </w:pPr>
            <w:r w:rsidRPr="006B1EDF">
              <w:rPr>
                <w:sz w:val="22"/>
              </w:rPr>
              <w:t>334</w:t>
            </w:r>
          </w:p>
        </w:tc>
        <w:tc>
          <w:tcPr>
            <w:tcW w:w="1703" w:type="dxa"/>
            <w:shd w:val="clear" w:color="auto" w:fill="auto"/>
          </w:tcPr>
          <w:p w14:paraId="1EBCC97D" w14:textId="3806AD91" w:rsidR="008B7366" w:rsidRPr="006B1EDF" w:rsidRDefault="009866CA" w:rsidP="001C6802">
            <w:pPr>
              <w:pStyle w:val="Normal10pt0"/>
              <w:keepNext/>
              <w:ind w:left="0" w:firstLine="0"/>
              <w:jc w:val="center"/>
              <w:rPr>
                <w:sz w:val="22"/>
              </w:rPr>
            </w:pPr>
            <w:r w:rsidRPr="006B1EDF">
              <w:rPr>
                <w:sz w:val="22"/>
              </w:rPr>
              <w:t>4,2</w:t>
            </w:r>
            <w:r w:rsidR="00133011">
              <w:rPr>
                <w:sz w:val="22"/>
              </w:rPr>
              <w:t> </w:t>
            </w:r>
            <w:r w:rsidRPr="006B1EDF">
              <w:rPr>
                <w:sz w:val="22"/>
              </w:rPr>
              <w:t>%</w:t>
            </w:r>
          </w:p>
          <w:p w14:paraId="4B8A91B5" w14:textId="6987DA42" w:rsidR="008B7366" w:rsidRPr="006B1EDF" w:rsidRDefault="009866CA" w:rsidP="001C6802">
            <w:pPr>
              <w:pStyle w:val="Normal10pt0"/>
              <w:keepNext/>
              <w:ind w:left="0" w:firstLine="0"/>
              <w:jc w:val="center"/>
              <w:rPr>
                <w:sz w:val="22"/>
              </w:rPr>
            </w:pPr>
            <w:r w:rsidRPr="006B1EDF">
              <w:rPr>
                <w:sz w:val="22"/>
              </w:rPr>
              <w:t>[2,3</w:t>
            </w:r>
            <w:r w:rsidR="00133011">
              <w:rPr>
                <w:sz w:val="22"/>
              </w:rPr>
              <w:t> </w:t>
            </w:r>
            <w:r w:rsidRPr="006B1EDF">
              <w:rPr>
                <w:sz w:val="22"/>
              </w:rPr>
              <w:t>%, 6,9</w:t>
            </w:r>
            <w:r w:rsidR="00133011">
              <w:rPr>
                <w:sz w:val="22"/>
              </w:rPr>
              <w:t> </w:t>
            </w:r>
            <w:r w:rsidRPr="006B1EDF">
              <w:rPr>
                <w:sz w:val="22"/>
              </w:rPr>
              <w:t>%]</w:t>
            </w:r>
          </w:p>
        </w:tc>
        <w:tc>
          <w:tcPr>
            <w:tcW w:w="2373" w:type="dxa"/>
            <w:shd w:val="clear" w:color="auto" w:fill="auto"/>
          </w:tcPr>
          <w:p w14:paraId="1E04A9AB" w14:textId="77777777" w:rsidR="008B7366" w:rsidRPr="006B1EDF" w:rsidRDefault="009866CA" w:rsidP="001C6802">
            <w:pPr>
              <w:pStyle w:val="Normal10pt0"/>
              <w:keepNext/>
              <w:ind w:left="0" w:firstLine="0"/>
              <w:jc w:val="center"/>
              <w:rPr>
                <w:sz w:val="22"/>
              </w:rPr>
            </w:pPr>
            <w:r w:rsidRPr="006B1EDF">
              <w:rPr>
                <w:sz w:val="22"/>
              </w:rPr>
              <w:t>-</w:t>
            </w:r>
          </w:p>
        </w:tc>
      </w:tr>
      <w:tr w:rsidR="008B7366" w:rsidRPr="00DD45B1" w14:paraId="65B96DAC" w14:textId="77777777" w:rsidTr="001C6802">
        <w:tc>
          <w:tcPr>
            <w:tcW w:w="1668" w:type="dxa"/>
            <w:shd w:val="clear" w:color="auto" w:fill="auto"/>
          </w:tcPr>
          <w:p w14:paraId="432887BC" w14:textId="42B05616" w:rsidR="008B7366" w:rsidRPr="006B1EDF" w:rsidRDefault="00245255" w:rsidP="001C6802">
            <w:pPr>
              <w:pStyle w:val="Normal10pt0"/>
              <w:keepNext/>
              <w:ind w:left="0" w:firstLine="0"/>
              <w:jc w:val="center"/>
              <w:rPr>
                <w:sz w:val="22"/>
              </w:rPr>
            </w:pPr>
            <w:r>
              <w:rPr>
                <w:sz w:val="22"/>
              </w:rPr>
              <w:t>Studie 4</w:t>
            </w:r>
          </w:p>
          <w:p w14:paraId="04EC14E3" w14:textId="01E354C6" w:rsidR="008B7366" w:rsidRPr="006B1EDF" w:rsidRDefault="009866CA" w:rsidP="001C6802">
            <w:pPr>
              <w:pStyle w:val="Normal10pt0"/>
              <w:keepNext/>
              <w:ind w:left="0" w:firstLine="0"/>
              <w:jc w:val="center"/>
              <w:rPr>
                <w:sz w:val="22"/>
              </w:rPr>
            </w:pPr>
            <w:r w:rsidRPr="006B1EDF">
              <w:rPr>
                <w:sz w:val="22"/>
              </w:rPr>
              <w:t>(46</w:t>
            </w:r>
            <w:r w:rsidR="00363D29">
              <w:rPr>
                <w:sz w:val="22"/>
              </w:rPr>
              <w:noBreakHyphen/>
            </w:r>
            <w:r w:rsidRPr="006B1EDF">
              <w:rPr>
                <w:sz w:val="22"/>
              </w:rPr>
              <w:t>64)</w:t>
            </w:r>
          </w:p>
        </w:tc>
        <w:tc>
          <w:tcPr>
            <w:tcW w:w="869" w:type="dxa"/>
            <w:shd w:val="clear" w:color="auto" w:fill="auto"/>
          </w:tcPr>
          <w:p w14:paraId="6FE9F6EB" w14:textId="77777777" w:rsidR="008B7366" w:rsidRPr="006B1EDF" w:rsidRDefault="009866CA" w:rsidP="001C6802">
            <w:pPr>
              <w:pStyle w:val="Normal10pt0"/>
              <w:keepNext/>
              <w:ind w:left="0" w:firstLine="0"/>
              <w:jc w:val="center"/>
              <w:rPr>
                <w:sz w:val="22"/>
              </w:rPr>
            </w:pPr>
            <w:r w:rsidRPr="006B1EDF">
              <w:rPr>
                <w:sz w:val="22"/>
              </w:rPr>
              <w:t>291</w:t>
            </w:r>
          </w:p>
        </w:tc>
        <w:tc>
          <w:tcPr>
            <w:tcW w:w="1843" w:type="dxa"/>
            <w:shd w:val="clear" w:color="auto" w:fill="auto"/>
          </w:tcPr>
          <w:p w14:paraId="7DB286E2" w14:textId="1A036214" w:rsidR="008B7366" w:rsidRPr="006B1EDF" w:rsidRDefault="009866CA" w:rsidP="001C6802">
            <w:pPr>
              <w:pStyle w:val="Normal10pt0"/>
              <w:keepNext/>
              <w:ind w:left="0" w:firstLine="0"/>
              <w:jc w:val="center"/>
              <w:rPr>
                <w:sz w:val="22"/>
              </w:rPr>
            </w:pPr>
            <w:r w:rsidRPr="006B1EDF">
              <w:rPr>
                <w:sz w:val="22"/>
              </w:rPr>
              <w:t>90,4</w:t>
            </w:r>
            <w:r w:rsidR="00133011">
              <w:rPr>
                <w:sz w:val="22"/>
              </w:rPr>
              <w:t> </w:t>
            </w:r>
            <w:r w:rsidRPr="006B1EDF">
              <w:rPr>
                <w:sz w:val="22"/>
              </w:rPr>
              <w:t>%</w:t>
            </w:r>
          </w:p>
          <w:p w14:paraId="44ED937F" w14:textId="61AEC8F1" w:rsidR="008B7366" w:rsidRPr="006B1EDF" w:rsidRDefault="009866CA" w:rsidP="001C6802">
            <w:pPr>
              <w:pStyle w:val="Normal10pt0"/>
              <w:keepNext/>
              <w:ind w:left="0" w:firstLine="0"/>
              <w:jc w:val="center"/>
              <w:rPr>
                <w:sz w:val="22"/>
              </w:rPr>
            </w:pPr>
            <w:r w:rsidRPr="006B1EDF">
              <w:rPr>
                <w:sz w:val="22"/>
              </w:rPr>
              <w:t>[86,4</w:t>
            </w:r>
            <w:r w:rsidR="00133011">
              <w:rPr>
                <w:sz w:val="22"/>
              </w:rPr>
              <w:t> </w:t>
            </w:r>
            <w:r w:rsidRPr="006B1EDF">
              <w:rPr>
                <w:sz w:val="22"/>
              </w:rPr>
              <w:t>%, 93,5</w:t>
            </w:r>
            <w:r w:rsidR="00133011">
              <w:rPr>
                <w:sz w:val="22"/>
              </w:rPr>
              <w:t> </w:t>
            </w:r>
            <w:r w:rsidRPr="006B1EDF">
              <w:rPr>
                <w:sz w:val="22"/>
              </w:rPr>
              <w:t>%]</w:t>
            </w:r>
          </w:p>
        </w:tc>
        <w:tc>
          <w:tcPr>
            <w:tcW w:w="850" w:type="dxa"/>
            <w:shd w:val="clear" w:color="auto" w:fill="auto"/>
          </w:tcPr>
          <w:p w14:paraId="694051AA" w14:textId="77777777" w:rsidR="008B7366" w:rsidRPr="006B1EDF" w:rsidRDefault="009866CA" w:rsidP="001C6802">
            <w:pPr>
              <w:pStyle w:val="Normal10pt0"/>
              <w:keepNext/>
              <w:ind w:left="0" w:firstLine="0"/>
              <w:jc w:val="center"/>
              <w:rPr>
                <w:sz w:val="22"/>
              </w:rPr>
            </w:pPr>
            <w:r w:rsidRPr="006B1EDF">
              <w:rPr>
                <w:sz w:val="22"/>
              </w:rPr>
              <w:t>99</w:t>
            </w:r>
          </w:p>
        </w:tc>
        <w:tc>
          <w:tcPr>
            <w:tcW w:w="1703" w:type="dxa"/>
            <w:shd w:val="clear" w:color="auto" w:fill="auto"/>
          </w:tcPr>
          <w:p w14:paraId="6389E17D" w14:textId="2E6ECB90" w:rsidR="008B7366" w:rsidRPr="006B1EDF" w:rsidRDefault="009866CA" w:rsidP="001C6802">
            <w:pPr>
              <w:pStyle w:val="Normal10pt0"/>
              <w:keepNext/>
              <w:ind w:left="0" w:firstLine="0"/>
              <w:jc w:val="center"/>
              <w:rPr>
                <w:sz w:val="22"/>
              </w:rPr>
            </w:pPr>
            <w:r w:rsidRPr="006B1EDF">
              <w:rPr>
                <w:sz w:val="22"/>
              </w:rPr>
              <w:t>0</w:t>
            </w:r>
            <w:r w:rsidR="00133011">
              <w:rPr>
                <w:sz w:val="22"/>
              </w:rPr>
              <w:t> </w:t>
            </w:r>
            <w:r w:rsidRPr="006B1EDF">
              <w:rPr>
                <w:sz w:val="22"/>
              </w:rPr>
              <w:t>%</w:t>
            </w:r>
          </w:p>
          <w:p w14:paraId="3B9C667B" w14:textId="1533B00A" w:rsidR="008B7366" w:rsidRPr="006B1EDF" w:rsidRDefault="009866CA" w:rsidP="001C6802">
            <w:pPr>
              <w:pStyle w:val="Normal10pt0"/>
              <w:keepNext/>
              <w:ind w:left="0" w:firstLine="0"/>
              <w:jc w:val="center"/>
              <w:rPr>
                <w:sz w:val="22"/>
              </w:rPr>
            </w:pPr>
            <w:r w:rsidRPr="006B1EDF">
              <w:rPr>
                <w:sz w:val="22"/>
              </w:rPr>
              <w:t>[0,0</w:t>
            </w:r>
            <w:r w:rsidR="00133011">
              <w:rPr>
                <w:sz w:val="22"/>
              </w:rPr>
              <w:t> </w:t>
            </w:r>
            <w:r w:rsidRPr="006B1EDF">
              <w:rPr>
                <w:sz w:val="22"/>
              </w:rPr>
              <w:t>%, 3,7</w:t>
            </w:r>
            <w:r w:rsidR="00133011">
              <w:rPr>
                <w:sz w:val="22"/>
              </w:rPr>
              <w:t> </w:t>
            </w:r>
            <w:r w:rsidRPr="006B1EDF">
              <w:rPr>
                <w:sz w:val="22"/>
              </w:rPr>
              <w:t>%]</w:t>
            </w:r>
          </w:p>
        </w:tc>
        <w:tc>
          <w:tcPr>
            <w:tcW w:w="2373" w:type="dxa"/>
            <w:shd w:val="clear" w:color="auto" w:fill="auto"/>
          </w:tcPr>
          <w:p w14:paraId="7A145000" w14:textId="07588640" w:rsidR="008B7366" w:rsidRPr="006B1EDF" w:rsidRDefault="009866CA" w:rsidP="001C6802">
            <w:pPr>
              <w:pStyle w:val="Normal10pt0"/>
              <w:keepNext/>
              <w:ind w:left="0" w:firstLine="0"/>
              <w:jc w:val="center"/>
              <w:rPr>
                <w:sz w:val="22"/>
              </w:rPr>
            </w:pPr>
            <w:r w:rsidRPr="006B1EDF">
              <w:rPr>
                <w:sz w:val="22"/>
              </w:rPr>
              <w:t>-3,1</w:t>
            </w:r>
            <w:r w:rsidR="00133011">
              <w:rPr>
                <w:sz w:val="22"/>
              </w:rPr>
              <w:t> </w:t>
            </w:r>
            <w:r w:rsidRPr="006B1EDF">
              <w:rPr>
                <w:sz w:val="22"/>
              </w:rPr>
              <w:t>%</w:t>
            </w:r>
          </w:p>
          <w:p w14:paraId="784E0F9A" w14:textId="67AE0704" w:rsidR="008B7366" w:rsidRPr="006B1EDF" w:rsidRDefault="009866CA" w:rsidP="001C6802">
            <w:pPr>
              <w:pStyle w:val="Normal10pt0"/>
              <w:keepNext/>
              <w:ind w:left="0" w:firstLine="0"/>
              <w:jc w:val="center"/>
              <w:rPr>
                <w:sz w:val="22"/>
              </w:rPr>
            </w:pPr>
            <w:r w:rsidRPr="006B1EDF">
              <w:rPr>
                <w:sz w:val="22"/>
              </w:rPr>
              <w:t>[</w:t>
            </w:r>
            <w:r w:rsidRPr="006B1EDF">
              <w:rPr>
                <w:sz w:val="22"/>
              </w:rPr>
              <w:noBreakHyphen/>
              <w:t>6,7</w:t>
            </w:r>
            <w:r w:rsidR="00133011">
              <w:rPr>
                <w:sz w:val="22"/>
              </w:rPr>
              <w:t> </w:t>
            </w:r>
            <w:r w:rsidRPr="006B1EDF">
              <w:rPr>
                <w:sz w:val="22"/>
              </w:rPr>
              <w:t>%, 0,4</w:t>
            </w:r>
            <w:r w:rsidR="00133011">
              <w:rPr>
                <w:sz w:val="22"/>
              </w:rPr>
              <w:t> </w:t>
            </w:r>
            <w:r w:rsidRPr="006B1EDF">
              <w:rPr>
                <w:sz w:val="22"/>
              </w:rPr>
              <w:t>%]</w:t>
            </w:r>
          </w:p>
        </w:tc>
      </w:tr>
    </w:tbl>
    <w:p w14:paraId="15B13A86" w14:textId="19122776" w:rsidR="008B7366" w:rsidRDefault="009866CA" w:rsidP="00D569AA">
      <w:pPr>
        <w:pStyle w:val="Normal10pt0"/>
        <w:keepNext/>
        <w:ind w:left="284" w:hanging="284"/>
      </w:pPr>
      <w:r>
        <w:rPr>
          <w:rStyle w:val="Superscript"/>
        </w:rPr>
        <w:t>a</w:t>
      </w:r>
      <w:r w:rsidR="00083EB8">
        <w:tab/>
      </w:r>
      <w:proofErr w:type="spellStart"/>
      <w:r>
        <w:t>Serokonversion</w:t>
      </w:r>
      <w:proofErr w:type="spellEnd"/>
      <w:r>
        <w:t xml:space="preserve"> ist definiert als die Prozentsätze der Studienteilnehmer, die 10 Tage nach der Impfung einen Anstieg des Antikörper-Titers gegen Vibrionen um mindestens das 4</w:t>
      </w:r>
      <w:r>
        <w:noBreakHyphen/>
        <w:t>Fache im Vergleich zum Ausgangswert aufweisen.</w:t>
      </w:r>
    </w:p>
    <w:p w14:paraId="4B1EF4C1" w14:textId="266ABE43" w:rsidR="008B7366" w:rsidRDefault="009866CA" w:rsidP="00D569AA">
      <w:pPr>
        <w:pStyle w:val="Normal10pt0"/>
        <w:keepNext/>
        <w:ind w:left="284" w:hanging="284"/>
      </w:pPr>
      <w:r>
        <w:rPr>
          <w:rStyle w:val="Superscript"/>
        </w:rPr>
        <w:t>b</w:t>
      </w:r>
      <w:r w:rsidR="00083EB8">
        <w:tab/>
      </w:r>
      <w:r>
        <w:t>N = Anzahl der Studienteilnehmer mit analysierbaren Proben an Tag 1 und Tag 11.</w:t>
      </w:r>
    </w:p>
    <w:p w14:paraId="7DA0744A" w14:textId="124BF8A5" w:rsidR="008B7366" w:rsidRDefault="009866CA" w:rsidP="00D569AA">
      <w:pPr>
        <w:pStyle w:val="Normal10pt0"/>
        <w:keepNext/>
        <w:ind w:left="284" w:hanging="284"/>
      </w:pPr>
      <w:r>
        <w:rPr>
          <w:rStyle w:val="Superscript"/>
        </w:rPr>
        <w:t>c</w:t>
      </w:r>
      <w:r w:rsidR="00083EB8">
        <w:tab/>
      </w:r>
      <w:r>
        <w:t>KI = Konfidenzintervall.</w:t>
      </w:r>
    </w:p>
    <w:p w14:paraId="0F9A3578" w14:textId="3340B500" w:rsidR="008B7366" w:rsidRDefault="009866CA" w:rsidP="00D569AA">
      <w:pPr>
        <w:pStyle w:val="Normal10pt0"/>
        <w:ind w:left="284" w:hanging="284"/>
      </w:pPr>
      <w:r>
        <w:rPr>
          <w:rStyle w:val="Superscript"/>
        </w:rPr>
        <w:t>d</w:t>
      </w:r>
      <w:r w:rsidR="00083EB8">
        <w:tab/>
      </w:r>
      <w:r>
        <w:t xml:space="preserve">Kriterien für die Nichtunterlegenheit: Die untere Grenze des zweiseitigen 95%-Konfidenzintervalls bezüglich des Unterschieds bei den </w:t>
      </w:r>
      <w:proofErr w:type="spellStart"/>
      <w:r>
        <w:t>Serokonversionsraten</w:t>
      </w:r>
      <w:proofErr w:type="spellEnd"/>
      <w:r>
        <w:t xml:space="preserve"> beim Vergleich mit Erwachsenen im Alter von 18 bis </w:t>
      </w:r>
      <w:r>
        <w:lastRenderedPageBreak/>
        <w:t>&lt; 46 Jahren muss über –10 Prozentpunkte liegen und die untere Grenze des zweiseitigen 95%</w:t>
      </w:r>
      <w:r w:rsidR="00ED70AF">
        <w:noBreakHyphen/>
      </w:r>
      <w:r>
        <w:t xml:space="preserve">Konfidenzintervalls bezüglich des Anteils der geimpften Personen, bei denen die </w:t>
      </w:r>
      <w:proofErr w:type="spellStart"/>
      <w:r>
        <w:t>Serokonversion</w:t>
      </w:r>
      <w:proofErr w:type="spellEnd"/>
      <w:r>
        <w:t xml:space="preserve"> 10 Tage nach der Impfung ausgelöst wurde, muss mindestens 70 % betragen.</w:t>
      </w:r>
    </w:p>
    <w:p w14:paraId="2A01F65D" w14:textId="77777777" w:rsidR="008B7366" w:rsidRDefault="008B7366"/>
    <w:p w14:paraId="28552959" w14:textId="546C85B5" w:rsidR="008B7366" w:rsidRDefault="009866CA">
      <w:r>
        <w:t xml:space="preserve">Verfügbare Daten zu </w:t>
      </w:r>
      <w:proofErr w:type="spellStart"/>
      <w:r>
        <w:t>Seronkonversionsraten</w:t>
      </w:r>
      <w:proofErr w:type="spellEnd"/>
      <w:r>
        <w:t xml:space="preserve"> im Vergleich zu anderen Biotypen und Serotypen von </w:t>
      </w:r>
      <w:r>
        <w:rPr>
          <w:rStyle w:val="Emphasis"/>
        </w:rPr>
        <w:t>V</w:t>
      </w:r>
      <w:r w:rsidR="00ED70AF">
        <w:rPr>
          <w:rStyle w:val="Emphasis"/>
        </w:rPr>
        <w:t>ibrio</w:t>
      </w:r>
      <w:r>
        <w:t> </w:t>
      </w:r>
      <w:r>
        <w:rPr>
          <w:rStyle w:val="Emphasis"/>
        </w:rPr>
        <w:t>cholerae</w:t>
      </w:r>
      <w:r>
        <w:t xml:space="preserve"> sind in Tabelle 3 enthalten. Die </w:t>
      </w:r>
      <w:proofErr w:type="spellStart"/>
      <w:r>
        <w:t>Serokonversionsraten</w:t>
      </w:r>
      <w:proofErr w:type="spellEnd"/>
      <w:r>
        <w:t xml:space="preserve"> für diese Biotypen und Serotypen wurden nicht für Kinder und Jugendliche ermittelt.</w:t>
      </w:r>
    </w:p>
    <w:p w14:paraId="662013D2" w14:textId="77777777" w:rsidR="008B7366" w:rsidRDefault="008B7366"/>
    <w:p w14:paraId="77A54CFB" w14:textId="6252603F" w:rsidR="008B7366" w:rsidRDefault="009866CA" w:rsidP="001B5904">
      <w:pPr>
        <w:pStyle w:val="TableTitle"/>
        <w:ind w:left="1134" w:hanging="1134"/>
      </w:pPr>
      <w:r>
        <w:t>Tabelle 3:</w:t>
      </w:r>
      <w:r w:rsidR="001B5904">
        <w:tab/>
      </w:r>
      <w:proofErr w:type="spellStart"/>
      <w:r>
        <w:t>Serokonversionsraten</w:t>
      </w:r>
      <w:proofErr w:type="spellEnd"/>
      <w:r>
        <w:t xml:space="preserve"> 10 Tage nach der Impfung für die vier wichtigsten Biotypen und Serotypen der </w:t>
      </w:r>
      <w:r>
        <w:rPr>
          <w:rStyle w:val="Emphasis"/>
        </w:rPr>
        <w:t>V</w:t>
      </w:r>
      <w:r w:rsidR="00ED70AF">
        <w:rPr>
          <w:rStyle w:val="Emphasis"/>
        </w:rPr>
        <w:t>ibrio</w:t>
      </w:r>
      <w:r>
        <w:t> </w:t>
      </w:r>
      <w:r>
        <w:rPr>
          <w:rStyle w:val="Emphasis"/>
        </w:rPr>
        <w:t>cholerae</w:t>
      </w:r>
      <w:r>
        <w:t>-O1-Serogruppe [bezüglich Immunogenität auswertbare Population]</w:t>
      </w:r>
    </w:p>
    <w:p w14:paraId="1B873664" w14:textId="77777777" w:rsidR="008B7366" w:rsidRDefault="008B7366">
      <w:pPr>
        <w:keepNext/>
      </w:pPr>
    </w:p>
    <w:tbl>
      <w:tblPr>
        <w:tblW w:w="0" w:type="auto"/>
        <w:tblBorders>
          <w:top w:val="single" w:sz="12" w:space="0" w:color="auto"/>
          <w:left w:val="single" w:sz="12" w:space="0" w:color="auto"/>
          <w:bottom w:val="single" w:sz="12" w:space="0" w:color="auto"/>
          <w:right w:val="single" w:sz="12" w:space="0" w:color="auto"/>
        </w:tblBorders>
        <w:tblCellMar>
          <w:top w:w="85" w:type="dxa"/>
          <w:bottom w:w="85" w:type="dxa"/>
        </w:tblCellMar>
        <w:tblLook w:val="04A0" w:firstRow="1" w:lastRow="0" w:firstColumn="1" w:lastColumn="0" w:noHBand="0" w:noVBand="1"/>
      </w:tblPr>
      <w:tblGrid>
        <w:gridCol w:w="1829"/>
        <w:gridCol w:w="1788"/>
        <w:gridCol w:w="1824"/>
        <w:gridCol w:w="1795"/>
        <w:gridCol w:w="1821"/>
      </w:tblGrid>
      <w:tr w:rsidR="008B7366" w:rsidRPr="00420BF5" w14:paraId="43783FB3" w14:textId="77777777">
        <w:tc>
          <w:tcPr>
            <w:tcW w:w="1860" w:type="dxa"/>
            <w:vMerge w:val="restart"/>
            <w:tcBorders>
              <w:top w:val="single" w:sz="12" w:space="0" w:color="auto"/>
              <w:bottom w:val="nil"/>
            </w:tcBorders>
            <w:shd w:val="clear" w:color="auto" w:fill="auto"/>
            <w:vAlign w:val="bottom"/>
          </w:tcPr>
          <w:p w14:paraId="2D3E61E3" w14:textId="77777777" w:rsidR="008B7366" w:rsidRPr="00420BF5" w:rsidRDefault="009866CA" w:rsidP="001C6802">
            <w:pPr>
              <w:pStyle w:val="Normal10pt0"/>
              <w:keepNext/>
              <w:ind w:left="0" w:firstLine="0"/>
              <w:rPr>
                <w:rStyle w:val="Strong"/>
                <w:sz w:val="22"/>
              </w:rPr>
            </w:pPr>
            <w:r w:rsidRPr="006B1EDF">
              <w:rPr>
                <w:rStyle w:val="Strong"/>
                <w:sz w:val="22"/>
              </w:rPr>
              <w:t>Cholera-Stamm</w:t>
            </w:r>
          </w:p>
        </w:tc>
        <w:tc>
          <w:tcPr>
            <w:tcW w:w="3721" w:type="dxa"/>
            <w:gridSpan w:val="2"/>
            <w:tcBorders>
              <w:top w:val="single" w:sz="12" w:space="0" w:color="auto"/>
              <w:bottom w:val="nil"/>
            </w:tcBorders>
            <w:shd w:val="clear" w:color="auto" w:fill="auto"/>
          </w:tcPr>
          <w:p w14:paraId="4D3E06D9" w14:textId="77777777" w:rsidR="008B7366" w:rsidRPr="006B1EDF" w:rsidRDefault="009866CA" w:rsidP="001C6802">
            <w:pPr>
              <w:pStyle w:val="Normal10pt0"/>
              <w:keepNext/>
              <w:ind w:left="0" w:firstLine="0"/>
              <w:jc w:val="center"/>
              <w:rPr>
                <w:rStyle w:val="Strong"/>
                <w:sz w:val="22"/>
              </w:rPr>
            </w:pPr>
            <w:r w:rsidRPr="006B1EDF">
              <w:rPr>
                <w:rStyle w:val="Strong"/>
                <w:sz w:val="22"/>
              </w:rPr>
              <w:t>Jüngere Erwachsene</w:t>
            </w:r>
          </w:p>
          <w:p w14:paraId="5F999450" w14:textId="77777777" w:rsidR="008B7366" w:rsidRPr="006B1EDF" w:rsidRDefault="009866CA" w:rsidP="001C6802">
            <w:pPr>
              <w:pStyle w:val="Normal10pt0"/>
              <w:keepNext/>
              <w:ind w:left="0" w:firstLine="0"/>
              <w:jc w:val="center"/>
              <w:rPr>
                <w:rStyle w:val="Strong"/>
                <w:sz w:val="22"/>
              </w:rPr>
            </w:pPr>
            <w:r w:rsidRPr="006B1EDF">
              <w:rPr>
                <w:rStyle w:val="Strong"/>
                <w:sz w:val="22"/>
              </w:rPr>
              <w:t>(18 bis 45 Jahre)</w:t>
            </w:r>
          </w:p>
          <w:p w14:paraId="21DBA6F8" w14:textId="77777777" w:rsidR="008B7366" w:rsidRPr="006B1EDF" w:rsidRDefault="009866CA" w:rsidP="001C6802">
            <w:pPr>
              <w:pStyle w:val="Normal10pt0"/>
              <w:keepNext/>
              <w:ind w:left="0" w:firstLine="0"/>
              <w:jc w:val="center"/>
              <w:rPr>
                <w:rStyle w:val="Strong"/>
                <w:sz w:val="22"/>
              </w:rPr>
            </w:pPr>
            <w:proofErr w:type="spellStart"/>
            <w:r w:rsidRPr="006B1EDF">
              <w:rPr>
                <w:rStyle w:val="Strong"/>
                <w:sz w:val="22"/>
              </w:rPr>
              <w:t>Vaxchora</w:t>
            </w:r>
            <w:proofErr w:type="spellEnd"/>
          </w:p>
        </w:tc>
        <w:tc>
          <w:tcPr>
            <w:tcW w:w="3722" w:type="dxa"/>
            <w:gridSpan w:val="2"/>
            <w:tcBorders>
              <w:top w:val="single" w:sz="12" w:space="0" w:color="auto"/>
              <w:bottom w:val="nil"/>
            </w:tcBorders>
            <w:shd w:val="clear" w:color="auto" w:fill="auto"/>
          </w:tcPr>
          <w:p w14:paraId="02A12CC6" w14:textId="77777777" w:rsidR="008B7366" w:rsidRPr="006B1EDF" w:rsidRDefault="009866CA" w:rsidP="001C6802">
            <w:pPr>
              <w:pStyle w:val="Normal10pt0"/>
              <w:keepNext/>
              <w:ind w:left="0" w:firstLine="0"/>
              <w:jc w:val="center"/>
              <w:rPr>
                <w:rStyle w:val="Strong"/>
                <w:sz w:val="22"/>
              </w:rPr>
            </w:pPr>
            <w:r w:rsidRPr="006B1EDF">
              <w:rPr>
                <w:rStyle w:val="Strong"/>
                <w:sz w:val="22"/>
              </w:rPr>
              <w:t>Ältere Erwachsene</w:t>
            </w:r>
          </w:p>
          <w:p w14:paraId="7C3F4FA3" w14:textId="77777777" w:rsidR="008B7366" w:rsidRPr="006B1EDF" w:rsidRDefault="009866CA" w:rsidP="001C6802">
            <w:pPr>
              <w:pStyle w:val="Normal10pt0"/>
              <w:keepNext/>
              <w:ind w:left="0" w:firstLine="0"/>
              <w:jc w:val="center"/>
              <w:rPr>
                <w:rStyle w:val="Strong"/>
                <w:sz w:val="22"/>
              </w:rPr>
            </w:pPr>
            <w:r w:rsidRPr="006B1EDF">
              <w:rPr>
                <w:rStyle w:val="Strong"/>
                <w:sz w:val="22"/>
              </w:rPr>
              <w:t>(46 bis 64 Jahre)</w:t>
            </w:r>
          </w:p>
          <w:p w14:paraId="23DF2AC3" w14:textId="77777777" w:rsidR="008B7366" w:rsidRPr="006B1EDF" w:rsidRDefault="009866CA" w:rsidP="001C6802">
            <w:pPr>
              <w:pStyle w:val="Normal10pt0"/>
              <w:keepNext/>
              <w:ind w:left="0" w:firstLine="0"/>
              <w:jc w:val="center"/>
              <w:rPr>
                <w:rStyle w:val="Strong"/>
                <w:sz w:val="22"/>
              </w:rPr>
            </w:pPr>
            <w:proofErr w:type="spellStart"/>
            <w:r w:rsidRPr="006B1EDF">
              <w:rPr>
                <w:rStyle w:val="Strong"/>
                <w:sz w:val="22"/>
              </w:rPr>
              <w:t>Vaxchora</w:t>
            </w:r>
            <w:proofErr w:type="spellEnd"/>
          </w:p>
        </w:tc>
      </w:tr>
      <w:tr w:rsidR="008B7366" w:rsidRPr="00420BF5" w14:paraId="28AC3F96" w14:textId="77777777">
        <w:tc>
          <w:tcPr>
            <w:tcW w:w="1860" w:type="dxa"/>
            <w:vMerge/>
            <w:tcBorders>
              <w:top w:val="nil"/>
              <w:bottom w:val="single" w:sz="12" w:space="0" w:color="auto"/>
            </w:tcBorders>
            <w:shd w:val="clear" w:color="auto" w:fill="auto"/>
          </w:tcPr>
          <w:p w14:paraId="77308D17" w14:textId="77777777" w:rsidR="008B7366" w:rsidRPr="006B1EDF" w:rsidRDefault="008B7366" w:rsidP="001C6802">
            <w:pPr>
              <w:pStyle w:val="Normal10pt0"/>
              <w:keepNext/>
              <w:ind w:left="0" w:firstLine="0"/>
              <w:rPr>
                <w:sz w:val="22"/>
              </w:rPr>
            </w:pPr>
          </w:p>
        </w:tc>
        <w:tc>
          <w:tcPr>
            <w:tcW w:w="1860" w:type="dxa"/>
            <w:tcBorders>
              <w:top w:val="nil"/>
              <w:bottom w:val="single" w:sz="12" w:space="0" w:color="auto"/>
            </w:tcBorders>
            <w:shd w:val="clear" w:color="auto" w:fill="auto"/>
            <w:vAlign w:val="center"/>
          </w:tcPr>
          <w:p w14:paraId="1CA1AE1C" w14:textId="77777777" w:rsidR="008B7366" w:rsidRPr="006B1EDF" w:rsidRDefault="009866CA" w:rsidP="001C6802">
            <w:pPr>
              <w:pStyle w:val="Normal10pt0"/>
              <w:keepNext/>
              <w:ind w:left="0" w:firstLine="0"/>
              <w:jc w:val="center"/>
              <w:rPr>
                <w:sz w:val="22"/>
              </w:rPr>
            </w:pPr>
            <w:proofErr w:type="gramStart"/>
            <w:r w:rsidRPr="006B1EDF">
              <w:rPr>
                <w:sz w:val="22"/>
              </w:rPr>
              <w:t>N</w:t>
            </w:r>
            <w:r w:rsidRPr="006B1EDF">
              <w:rPr>
                <w:rStyle w:val="Superscript"/>
                <w:sz w:val="22"/>
              </w:rPr>
              <w:t>a</w:t>
            </w:r>
            <w:proofErr w:type="gramEnd"/>
          </w:p>
        </w:tc>
        <w:tc>
          <w:tcPr>
            <w:tcW w:w="1861" w:type="dxa"/>
            <w:tcBorders>
              <w:top w:val="nil"/>
              <w:bottom w:val="single" w:sz="12" w:space="0" w:color="auto"/>
            </w:tcBorders>
            <w:shd w:val="clear" w:color="auto" w:fill="auto"/>
          </w:tcPr>
          <w:p w14:paraId="01A11A4E" w14:textId="77777777" w:rsidR="008B7366" w:rsidRPr="006B1EDF" w:rsidRDefault="009866CA" w:rsidP="001C6802">
            <w:pPr>
              <w:pStyle w:val="Normal10pt0"/>
              <w:keepNext/>
              <w:ind w:left="0" w:firstLine="0"/>
              <w:jc w:val="center"/>
              <w:rPr>
                <w:rStyle w:val="Superscript"/>
                <w:sz w:val="22"/>
              </w:rPr>
            </w:pPr>
            <w:r w:rsidRPr="006B1EDF">
              <w:rPr>
                <w:sz w:val="22"/>
              </w:rPr>
              <w:t>%</w:t>
            </w:r>
            <w:r w:rsidRPr="006B1EDF">
              <w:rPr>
                <w:rStyle w:val="Superscript"/>
                <w:sz w:val="22"/>
              </w:rPr>
              <w:t>b</w:t>
            </w:r>
          </w:p>
          <w:p w14:paraId="1C7AC34F" w14:textId="0D433585" w:rsidR="008B7366" w:rsidRPr="006B1EDF" w:rsidRDefault="009866CA" w:rsidP="001C6802">
            <w:pPr>
              <w:pStyle w:val="Normal10pt0"/>
              <w:keepNext/>
              <w:ind w:left="0" w:firstLine="0"/>
              <w:jc w:val="center"/>
              <w:rPr>
                <w:sz w:val="22"/>
              </w:rPr>
            </w:pPr>
            <w:r w:rsidRPr="006B1EDF">
              <w:rPr>
                <w:sz w:val="22"/>
              </w:rPr>
              <w:t>[95%</w:t>
            </w:r>
            <w:r w:rsidR="00827385">
              <w:rPr>
                <w:sz w:val="22"/>
              </w:rPr>
              <w:noBreakHyphen/>
            </w:r>
            <w:proofErr w:type="spellStart"/>
            <w:r w:rsidRPr="006B1EDF">
              <w:rPr>
                <w:sz w:val="22"/>
              </w:rPr>
              <w:t>KI</w:t>
            </w:r>
            <w:r w:rsidRPr="006B1EDF">
              <w:rPr>
                <w:rStyle w:val="Superscript"/>
                <w:sz w:val="22"/>
              </w:rPr>
              <w:t>c</w:t>
            </w:r>
            <w:proofErr w:type="spellEnd"/>
            <w:r w:rsidRPr="006B1EDF">
              <w:rPr>
                <w:sz w:val="22"/>
              </w:rPr>
              <w:t>]</w:t>
            </w:r>
          </w:p>
        </w:tc>
        <w:tc>
          <w:tcPr>
            <w:tcW w:w="1861" w:type="dxa"/>
            <w:tcBorders>
              <w:top w:val="nil"/>
              <w:bottom w:val="single" w:sz="12" w:space="0" w:color="auto"/>
            </w:tcBorders>
            <w:shd w:val="clear" w:color="auto" w:fill="auto"/>
            <w:vAlign w:val="center"/>
          </w:tcPr>
          <w:p w14:paraId="2CA35E2E" w14:textId="77777777" w:rsidR="008B7366" w:rsidRPr="006B1EDF" w:rsidRDefault="009866CA" w:rsidP="001C6802">
            <w:pPr>
              <w:pStyle w:val="Normal10pt0"/>
              <w:keepNext/>
              <w:ind w:left="0" w:firstLine="0"/>
              <w:jc w:val="center"/>
              <w:rPr>
                <w:sz w:val="22"/>
              </w:rPr>
            </w:pPr>
            <w:proofErr w:type="gramStart"/>
            <w:r w:rsidRPr="006B1EDF">
              <w:rPr>
                <w:sz w:val="22"/>
              </w:rPr>
              <w:t>N</w:t>
            </w:r>
            <w:r w:rsidRPr="006B1EDF">
              <w:rPr>
                <w:rStyle w:val="Superscript"/>
                <w:sz w:val="22"/>
              </w:rPr>
              <w:t>a</w:t>
            </w:r>
            <w:proofErr w:type="gramEnd"/>
          </w:p>
        </w:tc>
        <w:tc>
          <w:tcPr>
            <w:tcW w:w="1861" w:type="dxa"/>
            <w:tcBorders>
              <w:top w:val="nil"/>
              <w:bottom w:val="single" w:sz="12" w:space="0" w:color="auto"/>
            </w:tcBorders>
            <w:shd w:val="clear" w:color="auto" w:fill="auto"/>
          </w:tcPr>
          <w:p w14:paraId="1260DDB2" w14:textId="77777777" w:rsidR="008B7366" w:rsidRPr="006B1EDF" w:rsidRDefault="009866CA" w:rsidP="001C6802">
            <w:pPr>
              <w:pStyle w:val="Normal10pt0"/>
              <w:keepNext/>
              <w:ind w:left="0" w:firstLine="0"/>
              <w:jc w:val="center"/>
              <w:rPr>
                <w:sz w:val="22"/>
              </w:rPr>
            </w:pPr>
            <w:r w:rsidRPr="006B1EDF">
              <w:rPr>
                <w:sz w:val="22"/>
              </w:rPr>
              <w:t>%</w:t>
            </w:r>
          </w:p>
          <w:p w14:paraId="2925C2BB" w14:textId="6668E09E" w:rsidR="008B7366" w:rsidRPr="006B1EDF" w:rsidRDefault="009866CA" w:rsidP="001C6802">
            <w:pPr>
              <w:pStyle w:val="Normal10pt0"/>
              <w:keepNext/>
              <w:ind w:left="0" w:firstLine="0"/>
              <w:jc w:val="center"/>
              <w:rPr>
                <w:sz w:val="22"/>
              </w:rPr>
            </w:pPr>
            <w:r w:rsidRPr="006B1EDF">
              <w:rPr>
                <w:sz w:val="22"/>
              </w:rPr>
              <w:t>[95%</w:t>
            </w:r>
            <w:r w:rsidR="00827385">
              <w:rPr>
                <w:sz w:val="22"/>
              </w:rPr>
              <w:noBreakHyphen/>
            </w:r>
            <w:r w:rsidRPr="006B1EDF">
              <w:rPr>
                <w:sz w:val="22"/>
              </w:rPr>
              <w:t>KI]</w:t>
            </w:r>
          </w:p>
        </w:tc>
      </w:tr>
      <w:tr w:rsidR="008B7366" w:rsidRPr="00420BF5" w14:paraId="7F63B10E" w14:textId="77777777">
        <w:tc>
          <w:tcPr>
            <w:tcW w:w="1860" w:type="dxa"/>
            <w:tcBorders>
              <w:top w:val="single" w:sz="12" w:space="0" w:color="auto"/>
            </w:tcBorders>
            <w:shd w:val="clear" w:color="auto" w:fill="auto"/>
            <w:vAlign w:val="center"/>
          </w:tcPr>
          <w:p w14:paraId="73102FCC" w14:textId="77777777" w:rsidR="008B7366" w:rsidRPr="006B1EDF" w:rsidRDefault="009866CA" w:rsidP="001C6802">
            <w:pPr>
              <w:pStyle w:val="Normal10pt0"/>
              <w:keepNext/>
              <w:ind w:left="0" w:firstLine="0"/>
              <w:rPr>
                <w:sz w:val="22"/>
              </w:rPr>
            </w:pPr>
            <w:r w:rsidRPr="006B1EDF">
              <w:rPr>
                <w:sz w:val="22"/>
              </w:rPr>
              <w:t xml:space="preserve">Klassischer </w:t>
            </w:r>
            <w:proofErr w:type="spellStart"/>
            <w:r w:rsidRPr="006B1EDF">
              <w:rPr>
                <w:sz w:val="22"/>
              </w:rPr>
              <w:t>Inaba</w:t>
            </w:r>
            <w:r w:rsidRPr="006B1EDF">
              <w:rPr>
                <w:rStyle w:val="Superscript"/>
                <w:sz w:val="22"/>
              </w:rPr>
              <w:t>d</w:t>
            </w:r>
            <w:proofErr w:type="spellEnd"/>
          </w:p>
        </w:tc>
        <w:tc>
          <w:tcPr>
            <w:tcW w:w="1860" w:type="dxa"/>
            <w:tcBorders>
              <w:top w:val="single" w:sz="12" w:space="0" w:color="auto"/>
            </w:tcBorders>
            <w:shd w:val="clear" w:color="auto" w:fill="auto"/>
            <w:vAlign w:val="center"/>
          </w:tcPr>
          <w:p w14:paraId="4F06A68C" w14:textId="77777777" w:rsidR="008B7366" w:rsidRPr="006B1EDF" w:rsidRDefault="009866CA" w:rsidP="001C6802">
            <w:pPr>
              <w:pStyle w:val="Normal10pt0"/>
              <w:keepNext/>
              <w:ind w:left="0" w:firstLine="0"/>
              <w:jc w:val="center"/>
              <w:rPr>
                <w:sz w:val="22"/>
              </w:rPr>
            </w:pPr>
            <w:r w:rsidRPr="006B1EDF">
              <w:rPr>
                <w:sz w:val="22"/>
              </w:rPr>
              <w:t>93</w:t>
            </w:r>
          </w:p>
        </w:tc>
        <w:tc>
          <w:tcPr>
            <w:tcW w:w="1861" w:type="dxa"/>
            <w:tcBorders>
              <w:top w:val="single" w:sz="12" w:space="0" w:color="auto"/>
            </w:tcBorders>
            <w:shd w:val="clear" w:color="auto" w:fill="auto"/>
            <w:vAlign w:val="center"/>
          </w:tcPr>
          <w:p w14:paraId="4D302DA3" w14:textId="3605549F" w:rsidR="008B7366" w:rsidRPr="006B1EDF" w:rsidRDefault="009866CA" w:rsidP="001C6802">
            <w:pPr>
              <w:pStyle w:val="Normal10pt0"/>
              <w:keepNext/>
              <w:ind w:left="0" w:firstLine="0"/>
              <w:jc w:val="center"/>
              <w:rPr>
                <w:sz w:val="22"/>
              </w:rPr>
            </w:pPr>
            <w:r w:rsidRPr="006B1EDF">
              <w:rPr>
                <w:sz w:val="22"/>
              </w:rPr>
              <w:t>90,3</w:t>
            </w:r>
            <w:r w:rsidR="00420BF5">
              <w:rPr>
                <w:sz w:val="22"/>
              </w:rPr>
              <w:t> </w:t>
            </w:r>
            <w:r w:rsidRPr="006B1EDF">
              <w:rPr>
                <w:sz w:val="22"/>
              </w:rPr>
              <w:t>%</w:t>
            </w:r>
          </w:p>
          <w:p w14:paraId="4C53ABD1" w14:textId="747708C6" w:rsidR="008B7366" w:rsidRPr="006B1EDF" w:rsidRDefault="009866CA" w:rsidP="001C6802">
            <w:pPr>
              <w:pStyle w:val="Normal10pt0"/>
              <w:keepNext/>
              <w:ind w:left="0" w:firstLine="0"/>
              <w:jc w:val="center"/>
              <w:rPr>
                <w:sz w:val="22"/>
              </w:rPr>
            </w:pPr>
            <w:r w:rsidRPr="006B1EDF">
              <w:rPr>
                <w:sz w:val="22"/>
              </w:rPr>
              <w:t>[82,4</w:t>
            </w:r>
            <w:r w:rsidR="00420BF5">
              <w:rPr>
                <w:sz w:val="22"/>
              </w:rPr>
              <w:t> </w:t>
            </w:r>
            <w:r w:rsidRPr="006B1EDF">
              <w:rPr>
                <w:sz w:val="22"/>
              </w:rPr>
              <w:t>%, 95,5</w:t>
            </w:r>
            <w:r w:rsidR="00420BF5">
              <w:rPr>
                <w:sz w:val="22"/>
              </w:rPr>
              <w:t> </w:t>
            </w:r>
            <w:r w:rsidRPr="006B1EDF">
              <w:rPr>
                <w:sz w:val="22"/>
              </w:rPr>
              <w:t>%]</w:t>
            </w:r>
          </w:p>
        </w:tc>
        <w:tc>
          <w:tcPr>
            <w:tcW w:w="1861" w:type="dxa"/>
            <w:tcBorders>
              <w:top w:val="single" w:sz="12" w:space="0" w:color="auto"/>
            </w:tcBorders>
            <w:shd w:val="clear" w:color="auto" w:fill="auto"/>
            <w:vAlign w:val="center"/>
          </w:tcPr>
          <w:p w14:paraId="40F35674" w14:textId="77777777" w:rsidR="008B7366" w:rsidRPr="006B1EDF" w:rsidRDefault="009866CA" w:rsidP="001C6802">
            <w:pPr>
              <w:pStyle w:val="Normal10pt0"/>
              <w:keepNext/>
              <w:ind w:left="0" w:firstLine="0"/>
              <w:jc w:val="center"/>
              <w:rPr>
                <w:sz w:val="22"/>
              </w:rPr>
            </w:pPr>
            <w:r w:rsidRPr="006B1EDF">
              <w:rPr>
                <w:sz w:val="22"/>
              </w:rPr>
              <w:t>291</w:t>
            </w:r>
          </w:p>
        </w:tc>
        <w:tc>
          <w:tcPr>
            <w:tcW w:w="1861" w:type="dxa"/>
            <w:tcBorders>
              <w:top w:val="single" w:sz="12" w:space="0" w:color="auto"/>
            </w:tcBorders>
            <w:shd w:val="clear" w:color="auto" w:fill="auto"/>
            <w:vAlign w:val="center"/>
          </w:tcPr>
          <w:p w14:paraId="52487EB3" w14:textId="4760AE3A" w:rsidR="008B7366" w:rsidRPr="006B1EDF" w:rsidRDefault="009866CA" w:rsidP="001C6802">
            <w:pPr>
              <w:pStyle w:val="Normal10pt0"/>
              <w:keepNext/>
              <w:ind w:left="0" w:firstLine="0"/>
              <w:jc w:val="center"/>
              <w:rPr>
                <w:sz w:val="22"/>
              </w:rPr>
            </w:pPr>
            <w:r w:rsidRPr="006B1EDF">
              <w:rPr>
                <w:sz w:val="22"/>
              </w:rPr>
              <w:t>90,4</w:t>
            </w:r>
            <w:r w:rsidR="00420BF5">
              <w:rPr>
                <w:sz w:val="22"/>
              </w:rPr>
              <w:t> </w:t>
            </w:r>
            <w:r w:rsidRPr="006B1EDF">
              <w:rPr>
                <w:sz w:val="22"/>
              </w:rPr>
              <w:t>%</w:t>
            </w:r>
          </w:p>
          <w:p w14:paraId="42317BB5" w14:textId="7819AAD9" w:rsidR="008B7366" w:rsidRPr="006B1EDF" w:rsidRDefault="009866CA" w:rsidP="001C6802">
            <w:pPr>
              <w:pStyle w:val="Normal10pt0"/>
              <w:keepNext/>
              <w:ind w:left="0" w:firstLine="0"/>
              <w:jc w:val="center"/>
              <w:rPr>
                <w:sz w:val="22"/>
              </w:rPr>
            </w:pPr>
            <w:r w:rsidRPr="006B1EDF">
              <w:rPr>
                <w:sz w:val="22"/>
              </w:rPr>
              <w:t>[86,4</w:t>
            </w:r>
            <w:r w:rsidR="00420BF5">
              <w:rPr>
                <w:sz w:val="22"/>
              </w:rPr>
              <w:t> </w:t>
            </w:r>
            <w:r w:rsidRPr="006B1EDF">
              <w:rPr>
                <w:sz w:val="22"/>
              </w:rPr>
              <w:t>%, 93,5</w:t>
            </w:r>
            <w:r w:rsidR="00420BF5">
              <w:rPr>
                <w:sz w:val="22"/>
              </w:rPr>
              <w:t> </w:t>
            </w:r>
            <w:r w:rsidRPr="006B1EDF">
              <w:rPr>
                <w:sz w:val="22"/>
              </w:rPr>
              <w:t>%]</w:t>
            </w:r>
          </w:p>
        </w:tc>
      </w:tr>
      <w:tr w:rsidR="008B7366" w:rsidRPr="00420BF5" w14:paraId="62E63B53" w14:textId="77777777">
        <w:tc>
          <w:tcPr>
            <w:tcW w:w="1860" w:type="dxa"/>
            <w:shd w:val="clear" w:color="auto" w:fill="auto"/>
            <w:vAlign w:val="center"/>
          </w:tcPr>
          <w:p w14:paraId="2E8C7247" w14:textId="77777777" w:rsidR="008B7366" w:rsidRPr="006B1EDF" w:rsidRDefault="009866CA" w:rsidP="001C6802">
            <w:pPr>
              <w:pStyle w:val="Normal10pt0"/>
              <w:keepNext/>
              <w:ind w:left="0" w:firstLine="0"/>
              <w:rPr>
                <w:sz w:val="22"/>
              </w:rPr>
            </w:pPr>
            <w:r w:rsidRPr="006B1EDF">
              <w:rPr>
                <w:sz w:val="22"/>
              </w:rPr>
              <w:t>El-Tor-</w:t>
            </w:r>
            <w:proofErr w:type="spellStart"/>
            <w:r w:rsidRPr="006B1EDF">
              <w:rPr>
                <w:sz w:val="22"/>
              </w:rPr>
              <w:t>Inaba</w:t>
            </w:r>
            <w:proofErr w:type="spellEnd"/>
          </w:p>
        </w:tc>
        <w:tc>
          <w:tcPr>
            <w:tcW w:w="1860" w:type="dxa"/>
            <w:shd w:val="clear" w:color="auto" w:fill="auto"/>
            <w:vAlign w:val="center"/>
          </w:tcPr>
          <w:p w14:paraId="5D08E1F0" w14:textId="77777777" w:rsidR="008B7366" w:rsidRPr="006B1EDF" w:rsidRDefault="009866CA" w:rsidP="001C6802">
            <w:pPr>
              <w:pStyle w:val="Normal10pt0"/>
              <w:keepNext/>
              <w:ind w:left="0" w:firstLine="0"/>
              <w:jc w:val="center"/>
              <w:rPr>
                <w:sz w:val="22"/>
              </w:rPr>
            </w:pPr>
            <w:r w:rsidRPr="006B1EDF">
              <w:rPr>
                <w:sz w:val="22"/>
              </w:rPr>
              <w:t>93</w:t>
            </w:r>
          </w:p>
        </w:tc>
        <w:tc>
          <w:tcPr>
            <w:tcW w:w="1861" w:type="dxa"/>
            <w:shd w:val="clear" w:color="auto" w:fill="auto"/>
            <w:vAlign w:val="center"/>
          </w:tcPr>
          <w:p w14:paraId="38D08D5A" w14:textId="3ECDC9AB" w:rsidR="008B7366" w:rsidRPr="006B1EDF" w:rsidRDefault="009866CA" w:rsidP="001C6802">
            <w:pPr>
              <w:pStyle w:val="Normal10pt0"/>
              <w:keepNext/>
              <w:ind w:left="0" w:firstLine="0"/>
              <w:jc w:val="center"/>
              <w:rPr>
                <w:sz w:val="22"/>
              </w:rPr>
            </w:pPr>
            <w:r w:rsidRPr="006B1EDF">
              <w:rPr>
                <w:sz w:val="22"/>
              </w:rPr>
              <w:t>91,4</w:t>
            </w:r>
            <w:r w:rsidR="00420BF5">
              <w:rPr>
                <w:sz w:val="22"/>
              </w:rPr>
              <w:t> </w:t>
            </w:r>
            <w:r w:rsidRPr="006B1EDF">
              <w:rPr>
                <w:sz w:val="22"/>
              </w:rPr>
              <w:t>%</w:t>
            </w:r>
          </w:p>
          <w:p w14:paraId="33CB9561" w14:textId="2DA703C4" w:rsidR="008B7366" w:rsidRPr="006B1EDF" w:rsidRDefault="009866CA" w:rsidP="001C6802">
            <w:pPr>
              <w:pStyle w:val="Normal10pt0"/>
              <w:keepNext/>
              <w:ind w:left="0" w:firstLine="0"/>
              <w:jc w:val="center"/>
              <w:rPr>
                <w:sz w:val="22"/>
              </w:rPr>
            </w:pPr>
            <w:r w:rsidRPr="006B1EDF">
              <w:rPr>
                <w:sz w:val="22"/>
              </w:rPr>
              <w:t>[83,8</w:t>
            </w:r>
            <w:r w:rsidR="00420BF5">
              <w:rPr>
                <w:sz w:val="22"/>
              </w:rPr>
              <w:t> </w:t>
            </w:r>
            <w:r w:rsidRPr="006B1EDF">
              <w:rPr>
                <w:sz w:val="22"/>
              </w:rPr>
              <w:t>%, 96,2</w:t>
            </w:r>
            <w:r w:rsidR="00420BF5">
              <w:rPr>
                <w:sz w:val="22"/>
              </w:rPr>
              <w:t> </w:t>
            </w:r>
            <w:r w:rsidRPr="006B1EDF">
              <w:rPr>
                <w:sz w:val="22"/>
              </w:rPr>
              <w:t>%]</w:t>
            </w:r>
          </w:p>
        </w:tc>
        <w:tc>
          <w:tcPr>
            <w:tcW w:w="1861" w:type="dxa"/>
            <w:shd w:val="clear" w:color="auto" w:fill="auto"/>
            <w:vAlign w:val="center"/>
          </w:tcPr>
          <w:p w14:paraId="242E825B" w14:textId="77777777" w:rsidR="008B7366" w:rsidRPr="006B1EDF" w:rsidRDefault="009866CA" w:rsidP="001C6802">
            <w:pPr>
              <w:pStyle w:val="Normal10pt0"/>
              <w:keepNext/>
              <w:ind w:left="0" w:firstLine="0"/>
              <w:jc w:val="center"/>
              <w:rPr>
                <w:sz w:val="22"/>
              </w:rPr>
            </w:pPr>
            <w:r w:rsidRPr="006B1EDF">
              <w:rPr>
                <w:sz w:val="22"/>
              </w:rPr>
              <w:t>290</w:t>
            </w:r>
          </w:p>
        </w:tc>
        <w:tc>
          <w:tcPr>
            <w:tcW w:w="1861" w:type="dxa"/>
            <w:shd w:val="clear" w:color="auto" w:fill="auto"/>
            <w:vAlign w:val="center"/>
          </w:tcPr>
          <w:p w14:paraId="274BA7EA" w14:textId="1B042EDF" w:rsidR="008B7366" w:rsidRPr="006B1EDF" w:rsidRDefault="009866CA" w:rsidP="001C6802">
            <w:pPr>
              <w:pStyle w:val="Normal10pt0"/>
              <w:keepNext/>
              <w:ind w:left="0" w:firstLine="0"/>
              <w:jc w:val="center"/>
              <w:rPr>
                <w:sz w:val="22"/>
              </w:rPr>
            </w:pPr>
            <w:r w:rsidRPr="006B1EDF">
              <w:rPr>
                <w:sz w:val="22"/>
              </w:rPr>
              <w:t>91,0</w:t>
            </w:r>
            <w:r w:rsidR="00420BF5">
              <w:rPr>
                <w:sz w:val="22"/>
              </w:rPr>
              <w:t> </w:t>
            </w:r>
            <w:r w:rsidRPr="006B1EDF">
              <w:rPr>
                <w:sz w:val="22"/>
              </w:rPr>
              <w:t>%</w:t>
            </w:r>
          </w:p>
          <w:p w14:paraId="1C758118" w14:textId="443311CB" w:rsidR="008B7366" w:rsidRPr="006B1EDF" w:rsidRDefault="009866CA" w:rsidP="001C6802">
            <w:pPr>
              <w:pStyle w:val="Normal10pt0"/>
              <w:keepNext/>
              <w:ind w:left="0" w:firstLine="0"/>
              <w:jc w:val="center"/>
              <w:rPr>
                <w:sz w:val="22"/>
              </w:rPr>
            </w:pPr>
            <w:r w:rsidRPr="006B1EDF">
              <w:rPr>
                <w:sz w:val="22"/>
              </w:rPr>
              <w:t>[87,1</w:t>
            </w:r>
            <w:r w:rsidR="00420BF5">
              <w:rPr>
                <w:sz w:val="22"/>
              </w:rPr>
              <w:t> </w:t>
            </w:r>
            <w:r w:rsidRPr="006B1EDF">
              <w:rPr>
                <w:sz w:val="22"/>
              </w:rPr>
              <w:t>%, 94,1</w:t>
            </w:r>
            <w:r w:rsidR="00420BF5">
              <w:rPr>
                <w:sz w:val="22"/>
              </w:rPr>
              <w:t> </w:t>
            </w:r>
            <w:r w:rsidRPr="006B1EDF">
              <w:rPr>
                <w:sz w:val="22"/>
              </w:rPr>
              <w:t>%]</w:t>
            </w:r>
          </w:p>
        </w:tc>
      </w:tr>
      <w:tr w:rsidR="008B7366" w:rsidRPr="00420BF5" w14:paraId="3F0C6839" w14:textId="77777777">
        <w:tc>
          <w:tcPr>
            <w:tcW w:w="1860" w:type="dxa"/>
            <w:shd w:val="clear" w:color="auto" w:fill="auto"/>
            <w:vAlign w:val="center"/>
          </w:tcPr>
          <w:p w14:paraId="357ED58A" w14:textId="77777777" w:rsidR="008B7366" w:rsidRPr="006B1EDF" w:rsidRDefault="009866CA" w:rsidP="001C6802">
            <w:pPr>
              <w:pStyle w:val="Normal10pt0"/>
              <w:keepNext/>
              <w:ind w:left="0" w:firstLine="0"/>
              <w:rPr>
                <w:sz w:val="22"/>
              </w:rPr>
            </w:pPr>
            <w:r w:rsidRPr="006B1EDF">
              <w:rPr>
                <w:sz w:val="22"/>
              </w:rPr>
              <w:t>Klassischer Ogawa</w:t>
            </w:r>
          </w:p>
        </w:tc>
        <w:tc>
          <w:tcPr>
            <w:tcW w:w="1860" w:type="dxa"/>
            <w:shd w:val="clear" w:color="auto" w:fill="auto"/>
            <w:vAlign w:val="center"/>
          </w:tcPr>
          <w:p w14:paraId="5DD2E8AC" w14:textId="77777777" w:rsidR="008B7366" w:rsidRPr="006B1EDF" w:rsidRDefault="009866CA" w:rsidP="001C6802">
            <w:pPr>
              <w:pStyle w:val="Normal10pt0"/>
              <w:keepNext/>
              <w:ind w:left="0" w:firstLine="0"/>
              <w:jc w:val="center"/>
              <w:rPr>
                <w:sz w:val="22"/>
              </w:rPr>
            </w:pPr>
            <w:r w:rsidRPr="006B1EDF">
              <w:rPr>
                <w:sz w:val="22"/>
              </w:rPr>
              <w:t>93</w:t>
            </w:r>
          </w:p>
        </w:tc>
        <w:tc>
          <w:tcPr>
            <w:tcW w:w="1861" w:type="dxa"/>
            <w:shd w:val="clear" w:color="auto" w:fill="auto"/>
            <w:vAlign w:val="center"/>
          </w:tcPr>
          <w:p w14:paraId="7F34EAA5" w14:textId="3586E966" w:rsidR="008B7366" w:rsidRPr="006B1EDF" w:rsidRDefault="009866CA" w:rsidP="001C6802">
            <w:pPr>
              <w:pStyle w:val="Normal10pt0"/>
              <w:keepNext/>
              <w:ind w:left="0" w:firstLine="0"/>
              <w:jc w:val="center"/>
              <w:rPr>
                <w:sz w:val="22"/>
              </w:rPr>
            </w:pPr>
            <w:r w:rsidRPr="006B1EDF">
              <w:rPr>
                <w:sz w:val="22"/>
              </w:rPr>
              <w:t>87,1</w:t>
            </w:r>
            <w:r w:rsidR="00420BF5">
              <w:rPr>
                <w:sz w:val="22"/>
              </w:rPr>
              <w:t> </w:t>
            </w:r>
            <w:r w:rsidRPr="006B1EDF">
              <w:rPr>
                <w:sz w:val="22"/>
              </w:rPr>
              <w:t>%</w:t>
            </w:r>
          </w:p>
          <w:p w14:paraId="2C1AA5D1" w14:textId="3F4ABEC7" w:rsidR="008B7366" w:rsidRPr="006B1EDF" w:rsidRDefault="009866CA" w:rsidP="001C6802">
            <w:pPr>
              <w:pStyle w:val="Normal10pt0"/>
              <w:keepNext/>
              <w:ind w:left="0" w:firstLine="0"/>
              <w:jc w:val="center"/>
              <w:rPr>
                <w:sz w:val="22"/>
              </w:rPr>
            </w:pPr>
            <w:r w:rsidRPr="006B1EDF">
              <w:rPr>
                <w:sz w:val="22"/>
              </w:rPr>
              <w:t>[78,5</w:t>
            </w:r>
            <w:r w:rsidR="00420BF5">
              <w:rPr>
                <w:sz w:val="22"/>
              </w:rPr>
              <w:t> </w:t>
            </w:r>
            <w:r w:rsidRPr="006B1EDF">
              <w:rPr>
                <w:sz w:val="22"/>
              </w:rPr>
              <w:t>%, 93,2</w:t>
            </w:r>
            <w:r w:rsidR="00420BF5">
              <w:rPr>
                <w:sz w:val="22"/>
              </w:rPr>
              <w:t> </w:t>
            </w:r>
            <w:r w:rsidRPr="006B1EDF">
              <w:rPr>
                <w:sz w:val="22"/>
              </w:rPr>
              <w:t>%]</w:t>
            </w:r>
          </w:p>
        </w:tc>
        <w:tc>
          <w:tcPr>
            <w:tcW w:w="1861" w:type="dxa"/>
            <w:shd w:val="clear" w:color="auto" w:fill="auto"/>
            <w:vAlign w:val="center"/>
          </w:tcPr>
          <w:p w14:paraId="15580FBB" w14:textId="77777777" w:rsidR="008B7366" w:rsidRPr="006B1EDF" w:rsidRDefault="009866CA" w:rsidP="001C6802">
            <w:pPr>
              <w:pStyle w:val="Normal10pt0"/>
              <w:keepNext/>
              <w:ind w:left="0" w:firstLine="0"/>
              <w:jc w:val="center"/>
              <w:rPr>
                <w:sz w:val="22"/>
              </w:rPr>
            </w:pPr>
            <w:r w:rsidRPr="006B1EDF">
              <w:rPr>
                <w:sz w:val="22"/>
              </w:rPr>
              <w:t>291</w:t>
            </w:r>
          </w:p>
        </w:tc>
        <w:tc>
          <w:tcPr>
            <w:tcW w:w="1861" w:type="dxa"/>
            <w:shd w:val="clear" w:color="auto" w:fill="auto"/>
            <w:vAlign w:val="center"/>
          </w:tcPr>
          <w:p w14:paraId="6E603360" w14:textId="16AA6F37" w:rsidR="008B7366" w:rsidRPr="006B1EDF" w:rsidRDefault="009866CA" w:rsidP="001C6802">
            <w:pPr>
              <w:pStyle w:val="Normal10pt0"/>
              <w:keepNext/>
              <w:ind w:left="0" w:firstLine="0"/>
              <w:jc w:val="center"/>
              <w:rPr>
                <w:sz w:val="22"/>
              </w:rPr>
            </w:pPr>
            <w:r w:rsidRPr="006B1EDF">
              <w:rPr>
                <w:sz w:val="22"/>
              </w:rPr>
              <w:t>73,2</w:t>
            </w:r>
            <w:r w:rsidR="00420BF5">
              <w:rPr>
                <w:sz w:val="22"/>
              </w:rPr>
              <w:t> </w:t>
            </w:r>
            <w:r w:rsidRPr="006B1EDF">
              <w:rPr>
                <w:sz w:val="22"/>
              </w:rPr>
              <w:t>%</w:t>
            </w:r>
          </w:p>
          <w:p w14:paraId="7B9FDDC9" w14:textId="74ABF2FC" w:rsidR="008B7366" w:rsidRPr="006B1EDF" w:rsidRDefault="009866CA" w:rsidP="001C6802">
            <w:pPr>
              <w:pStyle w:val="Normal10pt0"/>
              <w:keepNext/>
              <w:ind w:left="0" w:firstLine="0"/>
              <w:jc w:val="center"/>
              <w:rPr>
                <w:sz w:val="22"/>
              </w:rPr>
            </w:pPr>
            <w:r w:rsidRPr="006B1EDF">
              <w:rPr>
                <w:sz w:val="22"/>
              </w:rPr>
              <w:t>[67,7</w:t>
            </w:r>
            <w:r w:rsidR="00420BF5">
              <w:rPr>
                <w:sz w:val="22"/>
              </w:rPr>
              <w:t> </w:t>
            </w:r>
            <w:r w:rsidRPr="006B1EDF">
              <w:rPr>
                <w:sz w:val="22"/>
              </w:rPr>
              <w:t>%, 78,2</w:t>
            </w:r>
            <w:r w:rsidR="00420BF5">
              <w:rPr>
                <w:sz w:val="22"/>
              </w:rPr>
              <w:t> </w:t>
            </w:r>
            <w:r w:rsidRPr="006B1EDF">
              <w:rPr>
                <w:sz w:val="22"/>
              </w:rPr>
              <w:t>%]</w:t>
            </w:r>
          </w:p>
        </w:tc>
      </w:tr>
      <w:tr w:rsidR="008B7366" w:rsidRPr="00420BF5" w14:paraId="7AA91531" w14:textId="77777777">
        <w:tc>
          <w:tcPr>
            <w:tcW w:w="1860" w:type="dxa"/>
            <w:shd w:val="clear" w:color="auto" w:fill="auto"/>
            <w:vAlign w:val="center"/>
          </w:tcPr>
          <w:p w14:paraId="5A072474" w14:textId="77777777" w:rsidR="008B7366" w:rsidRPr="006B1EDF" w:rsidRDefault="009866CA" w:rsidP="001C6802">
            <w:pPr>
              <w:pStyle w:val="Normal10pt0"/>
              <w:keepNext/>
              <w:ind w:left="0" w:firstLine="0"/>
              <w:rPr>
                <w:sz w:val="22"/>
              </w:rPr>
            </w:pPr>
            <w:r w:rsidRPr="006B1EDF">
              <w:rPr>
                <w:sz w:val="22"/>
              </w:rPr>
              <w:t>El-Tor-Ogawa</w:t>
            </w:r>
          </w:p>
        </w:tc>
        <w:tc>
          <w:tcPr>
            <w:tcW w:w="1860" w:type="dxa"/>
            <w:shd w:val="clear" w:color="auto" w:fill="auto"/>
            <w:vAlign w:val="center"/>
          </w:tcPr>
          <w:p w14:paraId="5F0E567F" w14:textId="77777777" w:rsidR="008B7366" w:rsidRPr="006B1EDF" w:rsidRDefault="009866CA" w:rsidP="001C6802">
            <w:pPr>
              <w:pStyle w:val="Normal10pt0"/>
              <w:keepNext/>
              <w:ind w:left="0" w:firstLine="0"/>
              <w:jc w:val="center"/>
              <w:rPr>
                <w:sz w:val="22"/>
              </w:rPr>
            </w:pPr>
            <w:r w:rsidRPr="006B1EDF">
              <w:rPr>
                <w:sz w:val="22"/>
              </w:rPr>
              <w:t>93</w:t>
            </w:r>
          </w:p>
        </w:tc>
        <w:tc>
          <w:tcPr>
            <w:tcW w:w="1861" w:type="dxa"/>
            <w:shd w:val="clear" w:color="auto" w:fill="auto"/>
            <w:vAlign w:val="center"/>
          </w:tcPr>
          <w:p w14:paraId="4419369B" w14:textId="32DFE53C" w:rsidR="008B7366" w:rsidRPr="006B1EDF" w:rsidRDefault="009866CA" w:rsidP="001C6802">
            <w:pPr>
              <w:pStyle w:val="Normal10pt0"/>
              <w:keepNext/>
              <w:ind w:left="0" w:firstLine="0"/>
              <w:jc w:val="center"/>
              <w:rPr>
                <w:sz w:val="22"/>
              </w:rPr>
            </w:pPr>
            <w:r w:rsidRPr="006B1EDF">
              <w:rPr>
                <w:sz w:val="22"/>
              </w:rPr>
              <w:t>89,2</w:t>
            </w:r>
            <w:r w:rsidR="00420BF5">
              <w:rPr>
                <w:sz w:val="22"/>
              </w:rPr>
              <w:t> </w:t>
            </w:r>
            <w:r w:rsidRPr="006B1EDF">
              <w:rPr>
                <w:sz w:val="22"/>
              </w:rPr>
              <w:t>%</w:t>
            </w:r>
          </w:p>
          <w:p w14:paraId="1650A470" w14:textId="38A60328" w:rsidR="008B7366" w:rsidRPr="006B1EDF" w:rsidRDefault="009866CA" w:rsidP="001C6802">
            <w:pPr>
              <w:pStyle w:val="Normal10pt0"/>
              <w:keepNext/>
              <w:ind w:left="0" w:firstLine="0"/>
              <w:jc w:val="center"/>
              <w:rPr>
                <w:sz w:val="22"/>
              </w:rPr>
            </w:pPr>
            <w:r w:rsidRPr="006B1EDF">
              <w:rPr>
                <w:sz w:val="22"/>
              </w:rPr>
              <w:t>[81,1</w:t>
            </w:r>
            <w:r w:rsidR="00420BF5">
              <w:rPr>
                <w:sz w:val="22"/>
              </w:rPr>
              <w:t> </w:t>
            </w:r>
            <w:r w:rsidRPr="006B1EDF">
              <w:rPr>
                <w:sz w:val="22"/>
              </w:rPr>
              <w:t>%, 94,7</w:t>
            </w:r>
            <w:r w:rsidR="00420BF5">
              <w:rPr>
                <w:sz w:val="22"/>
              </w:rPr>
              <w:t> </w:t>
            </w:r>
            <w:r w:rsidRPr="006B1EDF">
              <w:rPr>
                <w:sz w:val="22"/>
              </w:rPr>
              <w:t>%]</w:t>
            </w:r>
          </w:p>
        </w:tc>
        <w:tc>
          <w:tcPr>
            <w:tcW w:w="1861" w:type="dxa"/>
            <w:shd w:val="clear" w:color="auto" w:fill="auto"/>
            <w:vAlign w:val="center"/>
          </w:tcPr>
          <w:p w14:paraId="2EC12525" w14:textId="77777777" w:rsidR="008B7366" w:rsidRPr="006B1EDF" w:rsidRDefault="009866CA" w:rsidP="001C6802">
            <w:pPr>
              <w:pStyle w:val="Normal10pt0"/>
              <w:keepNext/>
              <w:ind w:left="0" w:firstLine="0"/>
              <w:jc w:val="center"/>
              <w:rPr>
                <w:sz w:val="22"/>
              </w:rPr>
            </w:pPr>
            <w:r w:rsidRPr="006B1EDF">
              <w:rPr>
                <w:sz w:val="22"/>
              </w:rPr>
              <w:t>290</w:t>
            </w:r>
          </w:p>
        </w:tc>
        <w:tc>
          <w:tcPr>
            <w:tcW w:w="1861" w:type="dxa"/>
            <w:shd w:val="clear" w:color="auto" w:fill="auto"/>
            <w:vAlign w:val="center"/>
          </w:tcPr>
          <w:p w14:paraId="42BAC8B8" w14:textId="492ED34D" w:rsidR="008B7366" w:rsidRPr="006B1EDF" w:rsidRDefault="009866CA" w:rsidP="001C6802">
            <w:pPr>
              <w:pStyle w:val="Normal10pt0"/>
              <w:keepNext/>
              <w:ind w:left="0" w:firstLine="0"/>
              <w:jc w:val="center"/>
              <w:rPr>
                <w:sz w:val="22"/>
              </w:rPr>
            </w:pPr>
            <w:r w:rsidRPr="006B1EDF">
              <w:rPr>
                <w:sz w:val="22"/>
              </w:rPr>
              <w:t>71,4</w:t>
            </w:r>
            <w:r w:rsidR="00420BF5">
              <w:rPr>
                <w:sz w:val="22"/>
              </w:rPr>
              <w:t> </w:t>
            </w:r>
            <w:r w:rsidRPr="006B1EDF">
              <w:rPr>
                <w:sz w:val="22"/>
              </w:rPr>
              <w:t>%</w:t>
            </w:r>
          </w:p>
          <w:p w14:paraId="12B3113D" w14:textId="0268A53A" w:rsidR="008B7366" w:rsidRPr="006B1EDF" w:rsidRDefault="009866CA" w:rsidP="001C6802">
            <w:pPr>
              <w:pStyle w:val="Normal10pt0"/>
              <w:keepNext/>
              <w:ind w:left="0" w:firstLine="0"/>
              <w:jc w:val="center"/>
              <w:rPr>
                <w:sz w:val="22"/>
              </w:rPr>
            </w:pPr>
            <w:r w:rsidRPr="006B1EDF">
              <w:rPr>
                <w:sz w:val="22"/>
              </w:rPr>
              <w:t>[65,8</w:t>
            </w:r>
            <w:r w:rsidR="00420BF5">
              <w:rPr>
                <w:sz w:val="22"/>
              </w:rPr>
              <w:t> </w:t>
            </w:r>
            <w:r w:rsidRPr="006B1EDF">
              <w:rPr>
                <w:sz w:val="22"/>
              </w:rPr>
              <w:t>%, 76,5</w:t>
            </w:r>
            <w:r w:rsidR="00420BF5">
              <w:rPr>
                <w:sz w:val="22"/>
              </w:rPr>
              <w:t> </w:t>
            </w:r>
            <w:r w:rsidRPr="006B1EDF">
              <w:rPr>
                <w:sz w:val="22"/>
              </w:rPr>
              <w:t>%]</w:t>
            </w:r>
          </w:p>
        </w:tc>
      </w:tr>
    </w:tbl>
    <w:p w14:paraId="439EF64E" w14:textId="266303C8" w:rsidR="008B7366" w:rsidRDefault="009866CA" w:rsidP="00D569AA">
      <w:pPr>
        <w:pStyle w:val="Normal10pt0"/>
        <w:keepNext/>
        <w:ind w:left="284" w:hanging="284"/>
      </w:pPr>
      <w:r>
        <w:rPr>
          <w:rStyle w:val="Superscript"/>
        </w:rPr>
        <w:t>a</w:t>
      </w:r>
      <w:r w:rsidR="00083EB8">
        <w:tab/>
      </w:r>
      <w:r>
        <w:t>N = Anzahl der Studienteilnehmer, bei denen Messungen zu Beginn der Studie und 10 Tage nach der Impfung vorgenommen wurden. Bei einem der Teilnehmer der Studie mit jüngeren Erwachsenen wurde keine Messung an Tag 11 vorgenommen, daher wurde dieser Studienteilnehmer nicht bei der Analyse berücksichtigt.</w:t>
      </w:r>
    </w:p>
    <w:p w14:paraId="445BF1C4" w14:textId="4D029380" w:rsidR="008B7366" w:rsidRDefault="009866CA" w:rsidP="00D569AA">
      <w:pPr>
        <w:pStyle w:val="Normal10pt0"/>
        <w:keepNext/>
        <w:ind w:left="284" w:hanging="284"/>
      </w:pPr>
      <w:r>
        <w:rPr>
          <w:rStyle w:val="Superscript"/>
        </w:rPr>
        <w:t>b</w:t>
      </w:r>
      <w:r w:rsidR="00083EB8">
        <w:tab/>
      </w:r>
      <w:proofErr w:type="spellStart"/>
      <w:r>
        <w:t>Serokonversion</w:t>
      </w:r>
      <w:proofErr w:type="spellEnd"/>
      <w:r>
        <w:t xml:space="preserve"> ist definiert als die Prozentsätze der Studienteilnehmer, die 10 Tage nach der Impfung einen Anstieg des Antikörper-Titers gegen Vibrionen um mindestens das 4</w:t>
      </w:r>
      <w:r>
        <w:noBreakHyphen/>
        <w:t>Fache im Vergleich zum Ausgangswert aufwiesen.</w:t>
      </w:r>
    </w:p>
    <w:p w14:paraId="1656C778" w14:textId="427BE2A3" w:rsidR="008B7366" w:rsidRDefault="009866CA" w:rsidP="00D569AA">
      <w:pPr>
        <w:pStyle w:val="Normal10pt0"/>
        <w:keepNext/>
        <w:ind w:left="284" w:hanging="284"/>
      </w:pPr>
      <w:r>
        <w:rPr>
          <w:rStyle w:val="Superscript"/>
        </w:rPr>
        <w:t>c</w:t>
      </w:r>
      <w:r w:rsidR="00083EB8">
        <w:tab/>
      </w:r>
      <w:r>
        <w:t>KI = Konfidenzintervall.</w:t>
      </w:r>
    </w:p>
    <w:p w14:paraId="1A2F0337" w14:textId="607DFB2B" w:rsidR="008B7366" w:rsidRDefault="009866CA" w:rsidP="00D569AA">
      <w:pPr>
        <w:pStyle w:val="Normal10pt0"/>
        <w:ind w:left="284" w:hanging="284"/>
      </w:pPr>
      <w:r>
        <w:rPr>
          <w:rStyle w:val="Superscript"/>
        </w:rPr>
        <w:t>d</w:t>
      </w:r>
      <w:r w:rsidR="00083EB8">
        <w:tab/>
      </w:r>
      <w:proofErr w:type="spellStart"/>
      <w:r>
        <w:t>Vaxchora</w:t>
      </w:r>
      <w:proofErr w:type="spellEnd"/>
      <w:r>
        <w:t xml:space="preserve"> enthält den klassischen </w:t>
      </w:r>
      <w:proofErr w:type="spellStart"/>
      <w:r>
        <w:t>Inaba</w:t>
      </w:r>
      <w:proofErr w:type="spellEnd"/>
      <w:r>
        <w:t xml:space="preserve">-Stamm der </w:t>
      </w:r>
      <w:r>
        <w:rPr>
          <w:rStyle w:val="Emphasis"/>
        </w:rPr>
        <w:t>V</w:t>
      </w:r>
      <w:r w:rsidR="008E510E">
        <w:rPr>
          <w:rStyle w:val="Emphasis"/>
        </w:rPr>
        <w:t>ibrio</w:t>
      </w:r>
      <w:r>
        <w:t> </w:t>
      </w:r>
      <w:r>
        <w:rPr>
          <w:rStyle w:val="Emphasis"/>
        </w:rPr>
        <w:t>cholerae</w:t>
      </w:r>
      <w:r>
        <w:t xml:space="preserve"> O1.</w:t>
      </w:r>
    </w:p>
    <w:p w14:paraId="189B0670" w14:textId="77777777" w:rsidR="008B7366" w:rsidRDefault="008B7366"/>
    <w:p w14:paraId="0E52A5AC" w14:textId="77777777" w:rsidR="008B7366" w:rsidRDefault="008B7366"/>
    <w:p w14:paraId="13AA66B1" w14:textId="77777777" w:rsidR="008B7366" w:rsidRDefault="009866CA">
      <w:pPr>
        <w:pStyle w:val="HeadingUnderlined"/>
      </w:pPr>
      <w:r>
        <w:t>Kinder und Jugendliche</w:t>
      </w:r>
    </w:p>
    <w:p w14:paraId="0B32586A" w14:textId="56B849BA" w:rsidR="008B7366" w:rsidRDefault="009866CA">
      <w:r>
        <w:t xml:space="preserve">Eine </w:t>
      </w:r>
      <w:proofErr w:type="spellStart"/>
      <w:r>
        <w:t>Immunogenitätsstudie</w:t>
      </w:r>
      <w:proofErr w:type="spellEnd"/>
      <w:r>
        <w:t xml:space="preserve"> wurde mit </w:t>
      </w:r>
      <w:r w:rsidR="00A432F4">
        <w:t xml:space="preserve">550 </w:t>
      </w:r>
      <w:r>
        <w:t xml:space="preserve">gesunden Kindern und Jugendlichen im Alter von </w:t>
      </w:r>
      <w:r w:rsidR="00A432F4">
        <w:t>2</w:t>
      </w:r>
      <w:r>
        <w:t xml:space="preserve"> bis &lt; 18 Jahren (durchschnittliches Alter </w:t>
      </w:r>
      <w:r w:rsidR="00A432F4">
        <w:t>9,0</w:t>
      </w:r>
      <w:r>
        <w:t xml:space="preserve">, Bereich </w:t>
      </w:r>
      <w:r w:rsidR="00A432F4">
        <w:t>2</w:t>
      </w:r>
      <w:r>
        <w:noBreakHyphen/>
        <w:t>17; 52,</w:t>
      </w:r>
      <w:r w:rsidR="00A432F4">
        <w:t>0</w:t>
      </w:r>
      <w:r w:rsidR="008E510E">
        <w:t> </w:t>
      </w:r>
      <w:r>
        <w:t>% männlich, 4</w:t>
      </w:r>
      <w:r w:rsidR="00A432F4">
        <w:t>8</w:t>
      </w:r>
      <w:r>
        <w:t>,</w:t>
      </w:r>
      <w:r w:rsidR="00A432F4">
        <w:t>0</w:t>
      </w:r>
      <w:r w:rsidR="008E510E">
        <w:t> </w:t>
      </w:r>
      <w:r>
        <w:t>% weiblich)</w:t>
      </w:r>
      <w:r w:rsidR="008E510E">
        <w:t xml:space="preserve"> (Studie 5)</w:t>
      </w:r>
      <w:r>
        <w:t xml:space="preserve"> durchgeführt. </w:t>
      </w:r>
      <w:proofErr w:type="gramStart"/>
      <w:r w:rsidR="00A432F4">
        <w:t xml:space="preserve">In der </w:t>
      </w:r>
      <w:r w:rsidR="001A7660">
        <w:t xml:space="preserve">bezüglich </w:t>
      </w:r>
      <w:r w:rsidR="00A432F4">
        <w:t>Immunogenität</w:t>
      </w:r>
      <w:proofErr w:type="gramEnd"/>
      <w:r w:rsidR="00A432F4">
        <w:t xml:space="preserve"> auswertbaren Population (n</w:t>
      </w:r>
      <w:r w:rsidR="008E510E">
        <w:t> </w:t>
      </w:r>
      <w:r w:rsidR="00A432F4">
        <w:t>=</w:t>
      </w:r>
      <w:r w:rsidR="008E510E">
        <w:t> </w:t>
      </w:r>
      <w:r w:rsidR="00A432F4">
        <w:t>4</w:t>
      </w:r>
      <w:r w:rsidR="00D531A1">
        <w:t>66</w:t>
      </w:r>
      <w:r w:rsidR="00A432F4">
        <w:t>) betrug das Verhältnis von männlichen Patienten zu weiblichen Patienten 52,8</w:t>
      </w:r>
      <w:r w:rsidR="008E510E">
        <w:t> </w:t>
      </w:r>
      <w:r w:rsidR="00A432F4">
        <w:t>% (männlich) zu 47,2</w:t>
      </w:r>
      <w:r w:rsidR="008E510E">
        <w:t> </w:t>
      </w:r>
      <w:r w:rsidR="00A432F4">
        <w:t xml:space="preserve">% (weiblich). </w:t>
      </w:r>
      <w:r>
        <w:t xml:space="preserve">Die </w:t>
      </w:r>
      <w:proofErr w:type="spellStart"/>
      <w:r>
        <w:t>Serokonversionsraten</w:t>
      </w:r>
      <w:proofErr w:type="spellEnd"/>
      <w:r>
        <w:t xml:space="preserve"> von mit Impfstoff oder Placebo geimpften Personen sowie die Ergebnisse des Immuno-</w:t>
      </w:r>
      <w:proofErr w:type="spellStart"/>
      <w:r>
        <w:t>Bridgings</w:t>
      </w:r>
      <w:proofErr w:type="spellEnd"/>
      <w:r>
        <w:t xml:space="preserve"> sind in Tabelle 4 enthalten.</w:t>
      </w:r>
    </w:p>
    <w:p w14:paraId="25769242" w14:textId="77777777" w:rsidR="00A432F4" w:rsidRDefault="00A432F4"/>
    <w:p w14:paraId="50D5A6D9" w14:textId="2F688880" w:rsidR="00A432F4" w:rsidRDefault="00A432F4">
      <w:r>
        <w:t xml:space="preserve">Es sind Daten zur </w:t>
      </w:r>
      <w:proofErr w:type="spellStart"/>
      <w:r w:rsidRPr="00A432F4">
        <w:t>Langzeitimmunogenität</w:t>
      </w:r>
      <w:proofErr w:type="spellEnd"/>
      <w:r>
        <w:t xml:space="preserve"> aus einer Untergruppe von Kindern</w:t>
      </w:r>
      <w:r w:rsidR="004F11BA">
        <w:t xml:space="preserve"> und Jugendlichen</w:t>
      </w:r>
      <w:r>
        <w:t xml:space="preserve"> im Alter von 12 bis &lt; 18 Jahren verfügbar. Die </w:t>
      </w:r>
      <w:proofErr w:type="spellStart"/>
      <w:r>
        <w:t>Serokonversionsrate</w:t>
      </w:r>
      <w:proofErr w:type="spellEnd"/>
      <w:r>
        <w:t xml:space="preserve"> lag im Bereich von 100</w:t>
      </w:r>
      <w:r w:rsidR="008E510E">
        <w:t> </w:t>
      </w:r>
      <w:r>
        <w:t>% 28 Tage nach der Impfung bis 64,5</w:t>
      </w:r>
      <w:r w:rsidR="008E510E">
        <w:t> </w:t>
      </w:r>
      <w:r>
        <w:t xml:space="preserve">% 729 Tage nach der Impfung. In Tabelle 5 sind die </w:t>
      </w:r>
      <w:proofErr w:type="spellStart"/>
      <w:r>
        <w:t>Serokonversionsraten</w:t>
      </w:r>
      <w:proofErr w:type="spellEnd"/>
      <w:r>
        <w:t xml:space="preserve"> im zeitlichen Verlauf aufgeführt.</w:t>
      </w:r>
    </w:p>
    <w:p w14:paraId="2F6EA781" w14:textId="77777777" w:rsidR="008B7366" w:rsidRDefault="008B7366"/>
    <w:p w14:paraId="431CBD14" w14:textId="5C197E6E" w:rsidR="008B7366" w:rsidRDefault="009866CA" w:rsidP="001B5904">
      <w:pPr>
        <w:pStyle w:val="TableTitle"/>
        <w:ind w:left="1134" w:hanging="1134"/>
      </w:pPr>
      <w:r>
        <w:lastRenderedPageBreak/>
        <w:t>Tabelle 4:</w:t>
      </w:r>
      <w:r w:rsidR="001B5904">
        <w:tab/>
      </w:r>
      <w:r>
        <w:t>Antikörper-</w:t>
      </w:r>
      <w:proofErr w:type="spellStart"/>
      <w:r>
        <w:t>Serokonversion</w:t>
      </w:r>
      <w:proofErr w:type="spellEnd"/>
      <w:r>
        <w:t xml:space="preserve"> infolge einer Belastung mit dem klassischen </w:t>
      </w:r>
      <w:r>
        <w:rPr>
          <w:rStyle w:val="Emphasis"/>
        </w:rPr>
        <w:t>V</w:t>
      </w:r>
      <w:r w:rsidR="00A0537A">
        <w:rPr>
          <w:rStyle w:val="Emphasis"/>
        </w:rPr>
        <w:t>ibrio</w:t>
      </w:r>
      <w:r>
        <w:t> </w:t>
      </w:r>
      <w:r>
        <w:rPr>
          <w:rStyle w:val="Emphasis"/>
        </w:rPr>
        <w:t>cholerae</w:t>
      </w:r>
      <w:r>
        <w:t>-</w:t>
      </w:r>
      <w:proofErr w:type="spellStart"/>
      <w:r>
        <w:t>Inaba</w:t>
      </w:r>
      <w:proofErr w:type="spellEnd"/>
      <w:r>
        <w:t>-Impfstoffstamm 10 Tage nach der Impfung von Kindern</w:t>
      </w:r>
      <w:r w:rsidR="008C075A">
        <w:t xml:space="preserve"> [</w:t>
      </w:r>
      <w:r w:rsidR="001A7660">
        <w:t xml:space="preserve">bezüglich </w:t>
      </w:r>
      <w:r w:rsidR="008C075A">
        <w:t>Immunogenität auswertbare Population]</w:t>
      </w:r>
    </w:p>
    <w:p w14:paraId="408E9177" w14:textId="77777777" w:rsidR="008B7366" w:rsidRDefault="008B7366">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46"/>
        <w:gridCol w:w="1795"/>
        <w:gridCol w:w="996"/>
        <w:gridCol w:w="1660"/>
        <w:gridCol w:w="2381"/>
      </w:tblGrid>
      <w:tr w:rsidR="008B7366" w:rsidRPr="00867239" w14:paraId="0C13CFD3" w14:textId="77777777" w:rsidTr="001B5904">
        <w:tc>
          <w:tcPr>
            <w:tcW w:w="1601" w:type="dxa"/>
            <w:tcBorders>
              <w:top w:val="single" w:sz="12" w:space="0" w:color="auto"/>
              <w:left w:val="single" w:sz="12" w:space="0" w:color="auto"/>
              <w:bottom w:val="nil"/>
              <w:right w:val="nil"/>
            </w:tcBorders>
            <w:shd w:val="clear" w:color="auto" w:fill="auto"/>
            <w:vAlign w:val="bottom"/>
          </w:tcPr>
          <w:p w14:paraId="386F5CF8" w14:textId="77777777" w:rsidR="008B7366" w:rsidRPr="00867239" w:rsidRDefault="009866CA" w:rsidP="001B5904">
            <w:pPr>
              <w:pStyle w:val="Normal10pt0"/>
              <w:keepNext/>
              <w:ind w:left="0" w:firstLine="0"/>
              <w:jc w:val="center"/>
              <w:rPr>
                <w:rStyle w:val="Strong"/>
                <w:sz w:val="22"/>
              </w:rPr>
            </w:pPr>
            <w:r w:rsidRPr="006B1EDF">
              <w:rPr>
                <w:rStyle w:val="Strong"/>
                <w:sz w:val="22"/>
              </w:rPr>
              <w:t>Studie</w:t>
            </w:r>
          </w:p>
        </w:tc>
        <w:tc>
          <w:tcPr>
            <w:tcW w:w="2469" w:type="dxa"/>
            <w:gridSpan w:val="2"/>
            <w:tcBorders>
              <w:top w:val="single" w:sz="12" w:space="0" w:color="auto"/>
              <w:left w:val="nil"/>
              <w:bottom w:val="nil"/>
              <w:right w:val="nil"/>
            </w:tcBorders>
            <w:shd w:val="clear" w:color="auto" w:fill="auto"/>
            <w:vAlign w:val="bottom"/>
          </w:tcPr>
          <w:p w14:paraId="234E6EA9" w14:textId="77777777" w:rsidR="008B7366" w:rsidRPr="006B1EDF" w:rsidRDefault="009866CA" w:rsidP="001B5904">
            <w:pPr>
              <w:pStyle w:val="Normal10pt0"/>
              <w:keepNext/>
              <w:ind w:left="0" w:firstLine="0"/>
              <w:jc w:val="center"/>
              <w:rPr>
                <w:rStyle w:val="Strong"/>
                <w:sz w:val="22"/>
              </w:rPr>
            </w:pPr>
            <w:r w:rsidRPr="006B1EDF">
              <w:rPr>
                <w:rStyle w:val="Strong"/>
                <w:sz w:val="22"/>
              </w:rPr>
              <w:t xml:space="preserve">Mit </w:t>
            </w:r>
            <w:proofErr w:type="spellStart"/>
            <w:r w:rsidRPr="006B1EDF">
              <w:rPr>
                <w:rStyle w:val="Strong"/>
                <w:sz w:val="22"/>
              </w:rPr>
              <w:t>Vaxchora</w:t>
            </w:r>
            <w:proofErr w:type="spellEnd"/>
            <w:r w:rsidRPr="006B1EDF">
              <w:rPr>
                <w:rStyle w:val="Strong"/>
                <w:sz w:val="22"/>
              </w:rPr>
              <w:t xml:space="preserve"> geimpfte Studienteilnehmer</w:t>
            </w:r>
          </w:p>
        </w:tc>
        <w:tc>
          <w:tcPr>
            <w:tcW w:w="2578" w:type="dxa"/>
            <w:gridSpan w:val="2"/>
            <w:tcBorders>
              <w:top w:val="single" w:sz="12" w:space="0" w:color="auto"/>
              <w:left w:val="nil"/>
              <w:bottom w:val="nil"/>
              <w:right w:val="nil"/>
            </w:tcBorders>
            <w:shd w:val="clear" w:color="auto" w:fill="auto"/>
            <w:vAlign w:val="bottom"/>
          </w:tcPr>
          <w:p w14:paraId="12F817B3" w14:textId="77777777" w:rsidR="008B7366" w:rsidRPr="006B1EDF" w:rsidRDefault="009866CA" w:rsidP="001B5904">
            <w:pPr>
              <w:pStyle w:val="Normal10pt0"/>
              <w:keepNext/>
              <w:ind w:left="0" w:firstLine="0"/>
              <w:jc w:val="center"/>
              <w:rPr>
                <w:rStyle w:val="Strong"/>
                <w:sz w:val="22"/>
              </w:rPr>
            </w:pPr>
            <w:r w:rsidRPr="006B1EDF">
              <w:rPr>
                <w:rStyle w:val="Strong"/>
                <w:sz w:val="22"/>
              </w:rPr>
              <w:t>Mit Placebo geimpfte Studienteilnehmer</w:t>
            </w:r>
          </w:p>
        </w:tc>
        <w:tc>
          <w:tcPr>
            <w:tcW w:w="2409" w:type="dxa"/>
            <w:tcBorders>
              <w:top w:val="single" w:sz="12" w:space="0" w:color="auto"/>
              <w:left w:val="nil"/>
              <w:bottom w:val="nil"/>
              <w:right w:val="single" w:sz="12" w:space="0" w:color="auto"/>
            </w:tcBorders>
            <w:shd w:val="clear" w:color="auto" w:fill="auto"/>
            <w:vAlign w:val="bottom"/>
          </w:tcPr>
          <w:p w14:paraId="52B1DA62" w14:textId="30676AA7" w:rsidR="008B7366" w:rsidRPr="006B1EDF" w:rsidRDefault="009866CA" w:rsidP="001B5904">
            <w:pPr>
              <w:pStyle w:val="Normal10pt0"/>
              <w:keepNext/>
              <w:ind w:left="0" w:firstLine="0"/>
              <w:jc w:val="center"/>
              <w:rPr>
                <w:rStyle w:val="Strong"/>
                <w:sz w:val="22"/>
              </w:rPr>
            </w:pPr>
            <w:r w:rsidRPr="006B1EDF">
              <w:rPr>
                <w:rStyle w:val="Strong"/>
                <w:sz w:val="22"/>
              </w:rPr>
              <w:t>Immuno-</w:t>
            </w:r>
            <w:proofErr w:type="spellStart"/>
            <w:r w:rsidRPr="006B1EDF">
              <w:rPr>
                <w:rStyle w:val="Strong"/>
                <w:sz w:val="22"/>
              </w:rPr>
              <w:t>Bridging</w:t>
            </w:r>
            <w:proofErr w:type="spellEnd"/>
            <w:r w:rsidRPr="006B1EDF">
              <w:rPr>
                <w:rStyle w:val="Strong"/>
                <w:sz w:val="22"/>
              </w:rPr>
              <w:t xml:space="preserve">: Unterschied bei der </w:t>
            </w:r>
            <w:proofErr w:type="spellStart"/>
            <w:r w:rsidRPr="006B1EDF">
              <w:rPr>
                <w:rStyle w:val="Strong"/>
                <w:sz w:val="22"/>
              </w:rPr>
              <w:t>Serokonversionsrate</w:t>
            </w:r>
            <w:proofErr w:type="spellEnd"/>
            <w:r w:rsidRPr="006B1EDF">
              <w:rPr>
                <w:rStyle w:val="Strong"/>
                <w:sz w:val="22"/>
              </w:rPr>
              <w:t xml:space="preserve"> im Vergleich zu Studie</w:t>
            </w:r>
            <w:r w:rsidR="00867239">
              <w:rPr>
                <w:rStyle w:val="Strong"/>
                <w:sz w:val="22"/>
              </w:rPr>
              <w:t> 3</w:t>
            </w:r>
            <w:r w:rsidRPr="006B1EDF">
              <w:rPr>
                <w:rStyle w:val="Strong"/>
                <w:sz w:val="22"/>
              </w:rPr>
              <w:t xml:space="preserve"> mit Erwachsenen im Alter von 18</w:t>
            </w:r>
            <w:r w:rsidRPr="006B1EDF">
              <w:rPr>
                <w:rStyle w:val="Strong"/>
                <w:sz w:val="22"/>
              </w:rPr>
              <w:noBreakHyphen/>
              <w:t>45 Jahren</w:t>
            </w:r>
          </w:p>
        </w:tc>
      </w:tr>
      <w:tr w:rsidR="008B7366" w:rsidRPr="00867239" w14:paraId="2CDEF8D2" w14:textId="77777777" w:rsidTr="001B5904">
        <w:tc>
          <w:tcPr>
            <w:tcW w:w="1601" w:type="dxa"/>
            <w:tcBorders>
              <w:top w:val="nil"/>
              <w:left w:val="single" w:sz="12" w:space="0" w:color="auto"/>
              <w:bottom w:val="single" w:sz="12" w:space="0" w:color="auto"/>
              <w:right w:val="nil"/>
            </w:tcBorders>
            <w:shd w:val="clear" w:color="auto" w:fill="auto"/>
            <w:vAlign w:val="bottom"/>
          </w:tcPr>
          <w:p w14:paraId="6F188C8B" w14:textId="77777777" w:rsidR="008B7366" w:rsidRPr="006B1EDF" w:rsidRDefault="009866CA" w:rsidP="001B5904">
            <w:pPr>
              <w:pStyle w:val="Normal10pt0"/>
              <w:keepNext/>
              <w:ind w:left="0" w:firstLine="0"/>
              <w:jc w:val="center"/>
              <w:rPr>
                <w:sz w:val="22"/>
              </w:rPr>
            </w:pPr>
            <w:r w:rsidRPr="006B1EDF">
              <w:rPr>
                <w:sz w:val="22"/>
              </w:rPr>
              <w:t>(Alter in Jahren)</w:t>
            </w:r>
          </w:p>
        </w:tc>
        <w:tc>
          <w:tcPr>
            <w:tcW w:w="658" w:type="dxa"/>
            <w:tcBorders>
              <w:top w:val="nil"/>
              <w:left w:val="nil"/>
              <w:bottom w:val="single" w:sz="12" w:space="0" w:color="auto"/>
              <w:right w:val="nil"/>
            </w:tcBorders>
            <w:shd w:val="clear" w:color="auto" w:fill="auto"/>
            <w:vAlign w:val="bottom"/>
          </w:tcPr>
          <w:p w14:paraId="1BD4A7DC" w14:textId="77777777" w:rsidR="008B7366" w:rsidRPr="006B1EDF" w:rsidRDefault="009866CA" w:rsidP="001B5904">
            <w:pPr>
              <w:pStyle w:val="Normal10pt0"/>
              <w:keepNext/>
              <w:ind w:left="0" w:firstLine="0"/>
              <w:jc w:val="center"/>
              <w:rPr>
                <w:sz w:val="22"/>
              </w:rPr>
            </w:pPr>
            <w:r w:rsidRPr="006B1EDF">
              <w:rPr>
                <w:sz w:val="22"/>
              </w:rPr>
              <w:t>N</w:t>
            </w:r>
            <w:r w:rsidRPr="006B1EDF">
              <w:rPr>
                <w:rStyle w:val="Superscript"/>
                <w:sz w:val="22"/>
              </w:rPr>
              <w:t>b</w:t>
            </w:r>
          </w:p>
        </w:tc>
        <w:tc>
          <w:tcPr>
            <w:tcW w:w="1811" w:type="dxa"/>
            <w:tcBorders>
              <w:top w:val="nil"/>
              <w:left w:val="nil"/>
              <w:bottom w:val="single" w:sz="12" w:space="0" w:color="auto"/>
              <w:right w:val="nil"/>
            </w:tcBorders>
            <w:shd w:val="clear" w:color="auto" w:fill="auto"/>
            <w:vAlign w:val="bottom"/>
          </w:tcPr>
          <w:p w14:paraId="48386409" w14:textId="77777777" w:rsidR="008B7366" w:rsidRPr="006B1EDF" w:rsidRDefault="009866CA" w:rsidP="001B5904">
            <w:pPr>
              <w:pStyle w:val="Normal10pt0"/>
              <w:keepNext/>
              <w:ind w:left="0" w:firstLine="0"/>
              <w:jc w:val="center"/>
              <w:rPr>
                <w:sz w:val="22"/>
              </w:rPr>
            </w:pPr>
            <w:proofErr w:type="spellStart"/>
            <w:r w:rsidRPr="006B1EDF">
              <w:rPr>
                <w:sz w:val="22"/>
              </w:rPr>
              <w:t>Serokonversion</w:t>
            </w:r>
            <w:r w:rsidRPr="006B1EDF">
              <w:rPr>
                <w:rStyle w:val="Superscript"/>
                <w:sz w:val="22"/>
              </w:rPr>
              <w:t>a</w:t>
            </w:r>
            <w:proofErr w:type="spellEnd"/>
          </w:p>
          <w:p w14:paraId="36628131" w14:textId="77777777" w:rsidR="008B7366" w:rsidRPr="006B1EDF" w:rsidRDefault="009866CA" w:rsidP="001B5904">
            <w:pPr>
              <w:pStyle w:val="Normal10pt0"/>
              <w:keepNext/>
              <w:ind w:left="0" w:firstLine="0"/>
              <w:jc w:val="center"/>
              <w:rPr>
                <w:sz w:val="22"/>
              </w:rPr>
            </w:pPr>
            <w:r w:rsidRPr="006B1EDF">
              <w:rPr>
                <w:sz w:val="22"/>
              </w:rPr>
              <w:t>%</w:t>
            </w:r>
          </w:p>
          <w:p w14:paraId="7C02F90F" w14:textId="0A7359AB" w:rsidR="008B7366" w:rsidRPr="006B1EDF" w:rsidRDefault="009866CA" w:rsidP="001B5904">
            <w:pPr>
              <w:pStyle w:val="Normal10pt0"/>
              <w:keepNext/>
              <w:ind w:left="0" w:firstLine="0"/>
              <w:jc w:val="center"/>
              <w:rPr>
                <w:sz w:val="22"/>
              </w:rPr>
            </w:pPr>
            <w:r w:rsidRPr="006B1EDF">
              <w:rPr>
                <w:sz w:val="22"/>
              </w:rPr>
              <w:t>[9</w:t>
            </w:r>
            <w:r w:rsidR="008C075A" w:rsidRPr="006B1EDF">
              <w:rPr>
                <w:sz w:val="22"/>
              </w:rPr>
              <w:t>8,3</w:t>
            </w:r>
            <w:r w:rsidRPr="006B1EDF">
              <w:rPr>
                <w:sz w:val="22"/>
              </w:rPr>
              <w:t>%</w:t>
            </w:r>
            <w:r w:rsidR="00827385">
              <w:rPr>
                <w:sz w:val="22"/>
              </w:rPr>
              <w:noBreakHyphen/>
            </w:r>
            <w:r w:rsidRPr="006B1EDF">
              <w:rPr>
                <w:sz w:val="22"/>
              </w:rPr>
              <w:t>KI]</w:t>
            </w:r>
          </w:p>
        </w:tc>
        <w:tc>
          <w:tcPr>
            <w:tcW w:w="1062" w:type="dxa"/>
            <w:tcBorders>
              <w:top w:val="nil"/>
              <w:left w:val="nil"/>
              <w:bottom w:val="single" w:sz="12" w:space="0" w:color="auto"/>
              <w:right w:val="nil"/>
            </w:tcBorders>
            <w:shd w:val="clear" w:color="auto" w:fill="auto"/>
            <w:vAlign w:val="bottom"/>
          </w:tcPr>
          <w:p w14:paraId="1919A080" w14:textId="77777777" w:rsidR="008B7366" w:rsidRPr="006B1EDF" w:rsidRDefault="009866CA" w:rsidP="001B5904">
            <w:pPr>
              <w:pStyle w:val="Normal10pt0"/>
              <w:keepNext/>
              <w:ind w:left="0" w:firstLine="0"/>
              <w:jc w:val="center"/>
              <w:rPr>
                <w:sz w:val="22"/>
              </w:rPr>
            </w:pPr>
            <w:r w:rsidRPr="006B1EDF">
              <w:rPr>
                <w:sz w:val="22"/>
              </w:rPr>
              <w:t>N</w:t>
            </w:r>
            <w:r w:rsidRPr="006B1EDF">
              <w:rPr>
                <w:rStyle w:val="Superscript"/>
                <w:sz w:val="22"/>
              </w:rPr>
              <w:t>b</w:t>
            </w:r>
          </w:p>
        </w:tc>
        <w:tc>
          <w:tcPr>
            <w:tcW w:w="1516" w:type="dxa"/>
            <w:tcBorders>
              <w:top w:val="nil"/>
              <w:left w:val="nil"/>
              <w:bottom w:val="single" w:sz="12" w:space="0" w:color="auto"/>
              <w:right w:val="nil"/>
            </w:tcBorders>
            <w:shd w:val="clear" w:color="auto" w:fill="auto"/>
            <w:vAlign w:val="bottom"/>
          </w:tcPr>
          <w:p w14:paraId="072EFF48" w14:textId="77777777" w:rsidR="008B7366" w:rsidRPr="006B1EDF" w:rsidRDefault="009866CA" w:rsidP="001B5904">
            <w:pPr>
              <w:pStyle w:val="Normal10pt0"/>
              <w:keepNext/>
              <w:ind w:left="0" w:firstLine="0"/>
              <w:jc w:val="center"/>
              <w:rPr>
                <w:sz w:val="22"/>
              </w:rPr>
            </w:pPr>
            <w:proofErr w:type="spellStart"/>
            <w:r w:rsidRPr="006B1EDF">
              <w:rPr>
                <w:sz w:val="22"/>
              </w:rPr>
              <w:t>Serokonversion</w:t>
            </w:r>
            <w:r w:rsidRPr="006B1EDF">
              <w:rPr>
                <w:rStyle w:val="Superscript"/>
                <w:sz w:val="22"/>
              </w:rPr>
              <w:t>a</w:t>
            </w:r>
            <w:proofErr w:type="spellEnd"/>
          </w:p>
          <w:p w14:paraId="31042A26" w14:textId="77777777" w:rsidR="008B7366" w:rsidRPr="006B1EDF" w:rsidRDefault="009866CA" w:rsidP="001B5904">
            <w:pPr>
              <w:pStyle w:val="Normal10pt0"/>
              <w:keepNext/>
              <w:ind w:left="0" w:firstLine="0"/>
              <w:jc w:val="center"/>
              <w:rPr>
                <w:sz w:val="22"/>
              </w:rPr>
            </w:pPr>
            <w:r w:rsidRPr="006B1EDF">
              <w:rPr>
                <w:sz w:val="22"/>
              </w:rPr>
              <w:t>%</w:t>
            </w:r>
          </w:p>
          <w:p w14:paraId="07D1C81A" w14:textId="0643B62A" w:rsidR="008B7366" w:rsidRPr="006B1EDF" w:rsidRDefault="009866CA" w:rsidP="001B5904">
            <w:pPr>
              <w:pStyle w:val="Normal10pt0"/>
              <w:keepNext/>
              <w:ind w:left="0" w:firstLine="0"/>
              <w:jc w:val="center"/>
              <w:rPr>
                <w:sz w:val="22"/>
              </w:rPr>
            </w:pPr>
            <w:r w:rsidRPr="006B1EDF">
              <w:rPr>
                <w:sz w:val="22"/>
              </w:rPr>
              <w:t>[95%</w:t>
            </w:r>
            <w:r w:rsidR="00827385">
              <w:rPr>
                <w:sz w:val="22"/>
              </w:rPr>
              <w:noBreakHyphen/>
            </w:r>
            <w:proofErr w:type="spellStart"/>
            <w:r w:rsidRPr="006B1EDF">
              <w:rPr>
                <w:sz w:val="22"/>
              </w:rPr>
              <w:t>KI</w:t>
            </w:r>
            <w:r w:rsidRPr="006B1EDF">
              <w:rPr>
                <w:rStyle w:val="Superscript"/>
                <w:sz w:val="22"/>
              </w:rPr>
              <w:t>c</w:t>
            </w:r>
            <w:proofErr w:type="spellEnd"/>
            <w:r w:rsidRPr="006B1EDF">
              <w:rPr>
                <w:sz w:val="22"/>
              </w:rPr>
              <w:t>]</w:t>
            </w:r>
          </w:p>
        </w:tc>
        <w:tc>
          <w:tcPr>
            <w:tcW w:w="2409" w:type="dxa"/>
            <w:tcBorders>
              <w:top w:val="nil"/>
              <w:left w:val="nil"/>
              <w:bottom w:val="single" w:sz="12" w:space="0" w:color="auto"/>
              <w:right w:val="single" w:sz="12" w:space="0" w:color="auto"/>
            </w:tcBorders>
            <w:shd w:val="clear" w:color="auto" w:fill="auto"/>
            <w:vAlign w:val="bottom"/>
          </w:tcPr>
          <w:p w14:paraId="15F64E30" w14:textId="77777777" w:rsidR="008B7366" w:rsidRPr="006B1EDF" w:rsidRDefault="009866CA" w:rsidP="001B5904">
            <w:pPr>
              <w:pStyle w:val="Normal10pt0"/>
              <w:keepNext/>
              <w:ind w:left="0" w:firstLine="0"/>
              <w:jc w:val="center"/>
              <w:rPr>
                <w:sz w:val="22"/>
              </w:rPr>
            </w:pPr>
            <w:r w:rsidRPr="006B1EDF">
              <w:rPr>
                <w:sz w:val="22"/>
              </w:rPr>
              <w:t>%</w:t>
            </w:r>
            <w:r w:rsidRPr="006B1EDF">
              <w:rPr>
                <w:rStyle w:val="Superscript"/>
                <w:sz w:val="22"/>
              </w:rPr>
              <w:t>d</w:t>
            </w:r>
          </w:p>
          <w:p w14:paraId="25223884" w14:textId="6EB00FD8" w:rsidR="008B7366" w:rsidRPr="006B1EDF" w:rsidRDefault="009866CA" w:rsidP="001B5904">
            <w:pPr>
              <w:pStyle w:val="Normal10pt0"/>
              <w:keepNext/>
              <w:ind w:left="0" w:firstLine="0"/>
              <w:jc w:val="center"/>
              <w:rPr>
                <w:sz w:val="22"/>
              </w:rPr>
            </w:pPr>
            <w:r w:rsidRPr="006B1EDF">
              <w:rPr>
                <w:sz w:val="22"/>
              </w:rPr>
              <w:t>[96,7%</w:t>
            </w:r>
            <w:r w:rsidR="00827385">
              <w:rPr>
                <w:sz w:val="22"/>
              </w:rPr>
              <w:noBreakHyphen/>
            </w:r>
            <w:r w:rsidRPr="006B1EDF">
              <w:rPr>
                <w:sz w:val="22"/>
              </w:rPr>
              <w:t>KI]</w:t>
            </w:r>
          </w:p>
        </w:tc>
      </w:tr>
      <w:tr w:rsidR="008B7366" w:rsidRPr="00867239" w14:paraId="60B322E7" w14:textId="77777777" w:rsidTr="001B5904">
        <w:tc>
          <w:tcPr>
            <w:tcW w:w="1601" w:type="dxa"/>
            <w:tcBorders>
              <w:top w:val="single" w:sz="12" w:space="0" w:color="auto"/>
              <w:left w:val="single" w:sz="12" w:space="0" w:color="auto"/>
              <w:bottom w:val="single" w:sz="12" w:space="0" w:color="auto"/>
              <w:right w:val="nil"/>
            </w:tcBorders>
            <w:shd w:val="clear" w:color="auto" w:fill="auto"/>
          </w:tcPr>
          <w:p w14:paraId="00FC541A" w14:textId="2C3AB345" w:rsidR="008B7366" w:rsidRPr="006B1EDF" w:rsidRDefault="009866CA" w:rsidP="001B5904">
            <w:pPr>
              <w:pStyle w:val="Normal10pt0"/>
              <w:keepNext/>
              <w:ind w:left="0" w:firstLine="0"/>
              <w:jc w:val="center"/>
              <w:rPr>
                <w:sz w:val="22"/>
              </w:rPr>
            </w:pPr>
            <w:r w:rsidRPr="006B1EDF">
              <w:rPr>
                <w:sz w:val="22"/>
              </w:rPr>
              <w:t xml:space="preserve">Studie mit pädiatrischen Teilnehmern </w:t>
            </w:r>
            <w:r w:rsidR="00867BB5">
              <w:rPr>
                <w:sz w:val="22"/>
              </w:rPr>
              <w:t xml:space="preserve">(Studie 5) </w:t>
            </w:r>
            <w:r w:rsidRPr="006B1EDF">
              <w:rPr>
                <w:sz w:val="22"/>
              </w:rPr>
              <w:t>(</w:t>
            </w:r>
            <w:r w:rsidR="008C075A" w:rsidRPr="006B1EDF">
              <w:rPr>
                <w:sz w:val="22"/>
              </w:rPr>
              <w:t>2 bis &lt; 18</w:t>
            </w:r>
            <w:r w:rsidRPr="006B1EDF">
              <w:rPr>
                <w:sz w:val="22"/>
              </w:rPr>
              <w:t>)</w:t>
            </w:r>
          </w:p>
        </w:tc>
        <w:tc>
          <w:tcPr>
            <w:tcW w:w="658" w:type="dxa"/>
            <w:tcBorders>
              <w:top w:val="single" w:sz="12" w:space="0" w:color="auto"/>
              <w:left w:val="nil"/>
              <w:bottom w:val="single" w:sz="12" w:space="0" w:color="auto"/>
              <w:right w:val="nil"/>
            </w:tcBorders>
            <w:shd w:val="clear" w:color="auto" w:fill="auto"/>
          </w:tcPr>
          <w:p w14:paraId="6B332BAE" w14:textId="77777777" w:rsidR="008B7366" w:rsidRPr="006B1EDF" w:rsidRDefault="008C075A" w:rsidP="001B5904">
            <w:pPr>
              <w:pStyle w:val="Normal10pt0"/>
              <w:keepNext/>
              <w:ind w:left="0" w:firstLine="0"/>
              <w:jc w:val="center"/>
              <w:rPr>
                <w:sz w:val="22"/>
              </w:rPr>
            </w:pPr>
            <w:r w:rsidRPr="006B1EDF">
              <w:rPr>
                <w:sz w:val="22"/>
              </w:rPr>
              <w:t>399</w:t>
            </w:r>
          </w:p>
        </w:tc>
        <w:tc>
          <w:tcPr>
            <w:tcW w:w="1811" w:type="dxa"/>
            <w:tcBorders>
              <w:top w:val="single" w:sz="12" w:space="0" w:color="auto"/>
              <w:left w:val="nil"/>
              <w:bottom w:val="single" w:sz="12" w:space="0" w:color="auto"/>
              <w:right w:val="nil"/>
            </w:tcBorders>
            <w:shd w:val="clear" w:color="auto" w:fill="auto"/>
          </w:tcPr>
          <w:p w14:paraId="251FA1EF" w14:textId="422D9EE4" w:rsidR="008B7366" w:rsidRPr="006B1EDF" w:rsidRDefault="009866CA" w:rsidP="001B5904">
            <w:pPr>
              <w:pStyle w:val="Normal10pt0"/>
              <w:keepNext/>
              <w:ind w:left="0" w:firstLine="0"/>
              <w:jc w:val="center"/>
              <w:rPr>
                <w:sz w:val="22"/>
              </w:rPr>
            </w:pPr>
            <w:r w:rsidRPr="006B1EDF">
              <w:rPr>
                <w:sz w:val="22"/>
              </w:rPr>
              <w:t>98,</w:t>
            </w:r>
            <w:r w:rsidR="008C075A" w:rsidRPr="006B1EDF">
              <w:rPr>
                <w:sz w:val="22"/>
              </w:rPr>
              <w:t>5</w:t>
            </w:r>
            <w:r w:rsidR="00867BB5">
              <w:rPr>
                <w:sz w:val="22"/>
              </w:rPr>
              <w:t> </w:t>
            </w:r>
            <w:r w:rsidRPr="006B1EDF">
              <w:rPr>
                <w:sz w:val="22"/>
              </w:rPr>
              <w:t>%</w:t>
            </w:r>
          </w:p>
          <w:p w14:paraId="4994063F" w14:textId="18AD1E59" w:rsidR="008B7366" w:rsidRPr="006B1EDF" w:rsidRDefault="009866CA" w:rsidP="001B5904">
            <w:pPr>
              <w:pStyle w:val="Normal10pt0"/>
              <w:keepNext/>
              <w:ind w:left="0" w:firstLine="0"/>
              <w:jc w:val="center"/>
              <w:rPr>
                <w:sz w:val="22"/>
              </w:rPr>
            </w:pPr>
            <w:r w:rsidRPr="006B1EDF">
              <w:rPr>
                <w:sz w:val="22"/>
              </w:rPr>
              <w:t>[96,</w:t>
            </w:r>
            <w:r w:rsidR="008C075A" w:rsidRPr="006B1EDF">
              <w:rPr>
                <w:sz w:val="22"/>
              </w:rPr>
              <w:t>2</w:t>
            </w:r>
            <w:r w:rsidR="00867BB5">
              <w:rPr>
                <w:sz w:val="22"/>
              </w:rPr>
              <w:t> </w:t>
            </w:r>
            <w:r w:rsidRPr="006B1EDF">
              <w:rPr>
                <w:sz w:val="22"/>
              </w:rPr>
              <w:t>%, 99,</w:t>
            </w:r>
            <w:r w:rsidR="008C075A" w:rsidRPr="006B1EDF">
              <w:rPr>
                <w:sz w:val="22"/>
              </w:rPr>
              <w:t>4</w:t>
            </w:r>
            <w:r w:rsidR="00867BB5">
              <w:rPr>
                <w:sz w:val="22"/>
              </w:rPr>
              <w:t> </w:t>
            </w:r>
            <w:r w:rsidRPr="006B1EDF">
              <w:rPr>
                <w:sz w:val="22"/>
              </w:rPr>
              <w:t>%]</w:t>
            </w:r>
          </w:p>
        </w:tc>
        <w:tc>
          <w:tcPr>
            <w:tcW w:w="1062" w:type="dxa"/>
            <w:tcBorders>
              <w:top w:val="single" w:sz="12" w:space="0" w:color="auto"/>
              <w:left w:val="nil"/>
              <w:bottom w:val="single" w:sz="12" w:space="0" w:color="auto"/>
              <w:right w:val="nil"/>
            </w:tcBorders>
            <w:shd w:val="clear" w:color="auto" w:fill="auto"/>
          </w:tcPr>
          <w:p w14:paraId="4EC0701C" w14:textId="77777777" w:rsidR="008B7366" w:rsidRPr="006B1EDF" w:rsidRDefault="008C075A" w:rsidP="001B5904">
            <w:pPr>
              <w:pStyle w:val="Normal10pt0"/>
              <w:keepNext/>
              <w:ind w:left="0" w:firstLine="0"/>
              <w:jc w:val="center"/>
              <w:rPr>
                <w:sz w:val="22"/>
              </w:rPr>
            </w:pPr>
            <w:r w:rsidRPr="006B1EDF">
              <w:rPr>
                <w:sz w:val="22"/>
              </w:rPr>
              <w:t>6</w:t>
            </w:r>
            <w:r w:rsidR="009866CA" w:rsidRPr="006B1EDF">
              <w:rPr>
                <w:sz w:val="22"/>
              </w:rPr>
              <w:t>7</w:t>
            </w:r>
          </w:p>
        </w:tc>
        <w:tc>
          <w:tcPr>
            <w:tcW w:w="1516" w:type="dxa"/>
            <w:tcBorders>
              <w:top w:val="single" w:sz="12" w:space="0" w:color="auto"/>
              <w:left w:val="nil"/>
              <w:bottom w:val="single" w:sz="12" w:space="0" w:color="auto"/>
              <w:right w:val="nil"/>
            </w:tcBorders>
            <w:shd w:val="clear" w:color="auto" w:fill="auto"/>
          </w:tcPr>
          <w:p w14:paraId="4799B81D" w14:textId="7EA54937" w:rsidR="008B7366" w:rsidRPr="006B1EDF" w:rsidRDefault="009866CA" w:rsidP="001B5904">
            <w:pPr>
              <w:pStyle w:val="Normal10pt0"/>
              <w:keepNext/>
              <w:ind w:left="0" w:firstLine="0"/>
              <w:jc w:val="center"/>
              <w:rPr>
                <w:sz w:val="22"/>
              </w:rPr>
            </w:pPr>
            <w:r w:rsidRPr="006B1EDF">
              <w:rPr>
                <w:sz w:val="22"/>
              </w:rPr>
              <w:t>1</w:t>
            </w:r>
            <w:r w:rsidR="008C075A" w:rsidRPr="006B1EDF">
              <w:rPr>
                <w:sz w:val="22"/>
              </w:rPr>
              <w:t>,5</w:t>
            </w:r>
            <w:r w:rsidR="00867BB5">
              <w:rPr>
                <w:sz w:val="22"/>
              </w:rPr>
              <w:t> </w:t>
            </w:r>
            <w:r w:rsidRPr="006B1EDF">
              <w:rPr>
                <w:sz w:val="22"/>
              </w:rPr>
              <w:t>%</w:t>
            </w:r>
          </w:p>
          <w:p w14:paraId="6F39177C" w14:textId="3E51CC45" w:rsidR="008B7366" w:rsidRPr="006B1EDF" w:rsidRDefault="009866CA" w:rsidP="001B5904">
            <w:pPr>
              <w:pStyle w:val="Normal10pt0"/>
              <w:keepNext/>
              <w:ind w:left="0" w:firstLine="0"/>
              <w:jc w:val="center"/>
              <w:rPr>
                <w:sz w:val="22"/>
              </w:rPr>
            </w:pPr>
            <w:r w:rsidRPr="006B1EDF">
              <w:rPr>
                <w:sz w:val="22"/>
              </w:rPr>
              <w:t>[0,</w:t>
            </w:r>
            <w:r w:rsidR="008C075A" w:rsidRPr="006B1EDF">
              <w:rPr>
                <w:sz w:val="22"/>
              </w:rPr>
              <w:t>3</w:t>
            </w:r>
            <w:r w:rsidR="00867BB5">
              <w:rPr>
                <w:sz w:val="22"/>
              </w:rPr>
              <w:t> </w:t>
            </w:r>
            <w:r w:rsidRPr="006B1EDF">
              <w:rPr>
                <w:sz w:val="22"/>
              </w:rPr>
              <w:t xml:space="preserve">%, </w:t>
            </w:r>
            <w:r w:rsidR="008C075A" w:rsidRPr="006B1EDF">
              <w:rPr>
                <w:sz w:val="22"/>
              </w:rPr>
              <w:t>8,0</w:t>
            </w:r>
            <w:r w:rsidR="00867BB5">
              <w:rPr>
                <w:sz w:val="22"/>
              </w:rPr>
              <w:t> </w:t>
            </w:r>
            <w:r w:rsidRPr="006B1EDF">
              <w:rPr>
                <w:sz w:val="22"/>
              </w:rPr>
              <w:t>%]</w:t>
            </w:r>
          </w:p>
        </w:tc>
        <w:tc>
          <w:tcPr>
            <w:tcW w:w="2409" w:type="dxa"/>
            <w:tcBorders>
              <w:top w:val="single" w:sz="12" w:space="0" w:color="auto"/>
              <w:left w:val="nil"/>
              <w:bottom w:val="single" w:sz="12" w:space="0" w:color="auto"/>
              <w:right w:val="single" w:sz="12" w:space="0" w:color="auto"/>
            </w:tcBorders>
            <w:shd w:val="clear" w:color="auto" w:fill="auto"/>
          </w:tcPr>
          <w:p w14:paraId="7C46DFE9" w14:textId="5949316B" w:rsidR="008B7366" w:rsidRPr="006B1EDF" w:rsidRDefault="009866CA" w:rsidP="001B5904">
            <w:pPr>
              <w:pStyle w:val="Normal10pt0"/>
              <w:keepNext/>
              <w:ind w:left="0" w:firstLine="0"/>
              <w:jc w:val="center"/>
              <w:rPr>
                <w:sz w:val="22"/>
              </w:rPr>
            </w:pPr>
            <w:r w:rsidRPr="006B1EDF">
              <w:rPr>
                <w:sz w:val="22"/>
              </w:rPr>
              <w:t>5,</w:t>
            </w:r>
            <w:r w:rsidR="008C075A" w:rsidRPr="006B1EDF">
              <w:rPr>
                <w:sz w:val="22"/>
              </w:rPr>
              <w:t>0</w:t>
            </w:r>
            <w:r w:rsidR="00867BB5">
              <w:rPr>
                <w:sz w:val="22"/>
              </w:rPr>
              <w:t> </w:t>
            </w:r>
            <w:r w:rsidRPr="006B1EDF">
              <w:rPr>
                <w:sz w:val="22"/>
              </w:rPr>
              <w:t>%</w:t>
            </w:r>
          </w:p>
          <w:p w14:paraId="4608F531" w14:textId="293C34A4" w:rsidR="008B7366" w:rsidRPr="006B1EDF" w:rsidRDefault="009866CA" w:rsidP="001B5904">
            <w:pPr>
              <w:pStyle w:val="Normal10pt0"/>
              <w:keepNext/>
              <w:ind w:left="0" w:firstLine="0"/>
              <w:jc w:val="center"/>
              <w:rPr>
                <w:sz w:val="22"/>
              </w:rPr>
            </w:pPr>
            <w:r w:rsidRPr="006B1EDF">
              <w:rPr>
                <w:sz w:val="22"/>
              </w:rPr>
              <w:t>[2,</w:t>
            </w:r>
            <w:r w:rsidR="008C075A" w:rsidRPr="006B1EDF">
              <w:rPr>
                <w:sz w:val="22"/>
              </w:rPr>
              <w:t>8</w:t>
            </w:r>
            <w:r w:rsidR="00867BB5">
              <w:rPr>
                <w:sz w:val="22"/>
              </w:rPr>
              <w:t> </w:t>
            </w:r>
            <w:r w:rsidRPr="006B1EDF">
              <w:rPr>
                <w:sz w:val="22"/>
              </w:rPr>
              <w:t>%, 6,</w:t>
            </w:r>
            <w:r w:rsidR="008C075A" w:rsidRPr="006B1EDF">
              <w:rPr>
                <w:sz w:val="22"/>
              </w:rPr>
              <w:t>4</w:t>
            </w:r>
            <w:r w:rsidR="00867BB5">
              <w:rPr>
                <w:sz w:val="22"/>
              </w:rPr>
              <w:t> </w:t>
            </w:r>
            <w:r w:rsidRPr="006B1EDF">
              <w:rPr>
                <w:sz w:val="22"/>
              </w:rPr>
              <w:t>%]</w:t>
            </w:r>
            <w:r w:rsidRPr="006B1EDF">
              <w:rPr>
                <w:rStyle w:val="Superscript"/>
                <w:sz w:val="22"/>
              </w:rPr>
              <w:t>c</w:t>
            </w:r>
          </w:p>
        </w:tc>
      </w:tr>
    </w:tbl>
    <w:p w14:paraId="534EEA68" w14:textId="31E97221" w:rsidR="008B7366" w:rsidRDefault="009866CA" w:rsidP="00D569AA">
      <w:pPr>
        <w:pStyle w:val="Normal10pt0"/>
        <w:keepNext/>
        <w:ind w:left="284" w:hanging="284"/>
      </w:pPr>
      <w:r>
        <w:rPr>
          <w:rStyle w:val="Superscript"/>
        </w:rPr>
        <w:t>a</w:t>
      </w:r>
      <w:r w:rsidR="00083EB8">
        <w:tab/>
      </w:r>
      <w:proofErr w:type="spellStart"/>
      <w:r>
        <w:t>Serokonversion</w:t>
      </w:r>
      <w:proofErr w:type="spellEnd"/>
      <w:r>
        <w:t xml:space="preserve"> ist definiert als die Prozentsätze der Studienteilnehmer, die 10 Tage nach der Impfung einen Anstieg des Antikörper-Titers gegen Vibrionen um mindestens das 4</w:t>
      </w:r>
      <w:r>
        <w:noBreakHyphen/>
        <w:t>Fache im Vergleich zum Ausgangswert aufweisen.</w:t>
      </w:r>
    </w:p>
    <w:p w14:paraId="1583869A" w14:textId="29CCF3A0" w:rsidR="008B7366" w:rsidRDefault="009866CA" w:rsidP="00D569AA">
      <w:pPr>
        <w:pStyle w:val="Normal10pt0"/>
        <w:keepNext/>
        <w:ind w:left="284" w:hanging="284"/>
      </w:pPr>
      <w:r>
        <w:rPr>
          <w:rStyle w:val="Superscript"/>
        </w:rPr>
        <w:t>b</w:t>
      </w:r>
      <w:r w:rsidR="00083EB8">
        <w:tab/>
      </w:r>
      <w:r>
        <w:t>n = Anzahl der Studienteilnehmer mit analysierbaren Proben an Tag 1 und Tag 11.</w:t>
      </w:r>
    </w:p>
    <w:p w14:paraId="71CF8E38" w14:textId="58903CF1" w:rsidR="008B7366" w:rsidRDefault="009866CA" w:rsidP="00D569AA">
      <w:pPr>
        <w:pStyle w:val="Normal10pt0"/>
        <w:keepNext/>
        <w:ind w:left="284" w:hanging="284"/>
      </w:pPr>
      <w:r>
        <w:rPr>
          <w:rStyle w:val="Superscript"/>
        </w:rPr>
        <w:t>c</w:t>
      </w:r>
      <w:r w:rsidR="00083EB8">
        <w:tab/>
      </w:r>
      <w:r>
        <w:t>KI = Konfidenzintervall.</w:t>
      </w:r>
    </w:p>
    <w:p w14:paraId="428FF719" w14:textId="3F72B571" w:rsidR="008B7366" w:rsidRDefault="009866CA" w:rsidP="00D569AA">
      <w:pPr>
        <w:pStyle w:val="Normal10pt0"/>
        <w:ind w:left="284" w:hanging="284"/>
      </w:pPr>
      <w:r>
        <w:rPr>
          <w:rStyle w:val="Superscript"/>
        </w:rPr>
        <w:t>d</w:t>
      </w:r>
      <w:r w:rsidR="00083EB8">
        <w:tab/>
      </w:r>
      <w:r>
        <w:t>Kriterien für die Nichtunterlegenheit: Die untere Grenze des zweiseitigen 98,3%</w:t>
      </w:r>
      <w:r w:rsidR="000F39AE">
        <w:noBreakHyphen/>
      </w:r>
      <w:r>
        <w:t xml:space="preserve">Konfidenzintervalls bezüglich des Unterschieds bei den </w:t>
      </w:r>
      <w:proofErr w:type="spellStart"/>
      <w:r>
        <w:t>Serokonversionsraten</w:t>
      </w:r>
      <w:proofErr w:type="spellEnd"/>
      <w:r>
        <w:t xml:space="preserve"> beim Vergleich mit Erwachsenen im Alter von 18 bis &lt; 46 Jahren muss über –10</w:t>
      </w:r>
      <w:r w:rsidR="000F39AE">
        <w:t> </w:t>
      </w:r>
      <w:r>
        <w:t>Prozentpunkte liegen und die untere Grenze des zweiseitigen 98,3%</w:t>
      </w:r>
      <w:r w:rsidR="000F39AE">
        <w:noBreakHyphen/>
      </w:r>
      <w:r>
        <w:t xml:space="preserve">Konfidenzintervalls bezüglich des Anteils der geimpften Personen, bei denen die </w:t>
      </w:r>
      <w:proofErr w:type="spellStart"/>
      <w:r>
        <w:t>Serokonversion</w:t>
      </w:r>
      <w:proofErr w:type="spellEnd"/>
      <w:r>
        <w:t xml:space="preserve"> 10 Tage nach der Impfung ausgelöst wurde, muss mindestens 70</w:t>
      </w:r>
      <w:r w:rsidR="000F39AE">
        <w:t> </w:t>
      </w:r>
      <w:r>
        <w:t>% betragen.</w:t>
      </w:r>
    </w:p>
    <w:p w14:paraId="2807648F" w14:textId="77777777" w:rsidR="008D58C1" w:rsidRDefault="008D58C1" w:rsidP="00D569AA">
      <w:pPr>
        <w:pStyle w:val="Normal10pt0"/>
        <w:ind w:left="284" w:hanging="284"/>
      </w:pPr>
    </w:p>
    <w:p w14:paraId="06AE80E7" w14:textId="69C6B4B3" w:rsidR="008D58C1" w:rsidRPr="00D569AA" w:rsidRDefault="008D58C1" w:rsidP="001B5904">
      <w:pPr>
        <w:pStyle w:val="Caption"/>
        <w:keepNext/>
        <w:keepLines/>
        <w:ind w:left="1134" w:hanging="1134"/>
        <w:rPr>
          <w:sz w:val="22"/>
        </w:rPr>
      </w:pPr>
      <w:r w:rsidRPr="00D569AA">
        <w:rPr>
          <w:sz w:val="22"/>
        </w:rPr>
        <w:lastRenderedPageBreak/>
        <w:t>Tabelle 5:</w:t>
      </w:r>
      <w:r w:rsidR="001B5904">
        <w:rPr>
          <w:sz w:val="22"/>
        </w:rPr>
        <w:tab/>
      </w:r>
      <w:proofErr w:type="spellStart"/>
      <w:r w:rsidR="0019710B" w:rsidRPr="0019710B">
        <w:rPr>
          <w:sz w:val="22"/>
        </w:rPr>
        <w:t>Vibriozidale</w:t>
      </w:r>
      <w:proofErr w:type="spellEnd"/>
      <w:r w:rsidR="0019710B" w:rsidRPr="0019710B">
        <w:rPr>
          <w:sz w:val="22"/>
        </w:rPr>
        <w:t xml:space="preserve"> Antikörper-</w:t>
      </w:r>
      <w:proofErr w:type="spellStart"/>
      <w:r w:rsidR="0019710B" w:rsidRPr="0019710B">
        <w:rPr>
          <w:sz w:val="22"/>
        </w:rPr>
        <w:t>Serokonversion</w:t>
      </w:r>
      <w:proofErr w:type="spellEnd"/>
      <w:r w:rsidR="0019710B" w:rsidRPr="0019710B">
        <w:rPr>
          <w:sz w:val="22"/>
        </w:rPr>
        <w:t xml:space="preserve"> infolge einer Belastung mit dem klassischen </w:t>
      </w:r>
      <w:r w:rsidR="0019710B" w:rsidRPr="00D569AA">
        <w:rPr>
          <w:i/>
          <w:sz w:val="22"/>
        </w:rPr>
        <w:t>V</w:t>
      </w:r>
      <w:r w:rsidR="000F39AE">
        <w:rPr>
          <w:i/>
          <w:sz w:val="22"/>
        </w:rPr>
        <w:t>ibrio</w:t>
      </w:r>
      <w:r w:rsidR="0019710B" w:rsidRPr="00D569AA">
        <w:rPr>
          <w:i/>
          <w:sz w:val="22"/>
        </w:rPr>
        <w:t xml:space="preserve"> cholerae</w:t>
      </w:r>
      <w:r w:rsidR="0019710B" w:rsidRPr="0019710B">
        <w:rPr>
          <w:sz w:val="22"/>
        </w:rPr>
        <w:t>-</w:t>
      </w:r>
      <w:proofErr w:type="spellStart"/>
      <w:r w:rsidR="0019710B" w:rsidRPr="0019710B">
        <w:rPr>
          <w:sz w:val="22"/>
        </w:rPr>
        <w:t>Inaba</w:t>
      </w:r>
      <w:proofErr w:type="spellEnd"/>
      <w:r w:rsidR="0019710B" w:rsidRPr="0019710B">
        <w:rPr>
          <w:sz w:val="22"/>
        </w:rPr>
        <w:t xml:space="preserve">-Impfstoffstamm </w:t>
      </w:r>
      <w:r w:rsidR="0019710B">
        <w:rPr>
          <w:sz w:val="22"/>
        </w:rPr>
        <w:t xml:space="preserve">ab </w:t>
      </w:r>
      <w:r w:rsidR="0019710B" w:rsidRPr="0019710B">
        <w:rPr>
          <w:sz w:val="22"/>
        </w:rPr>
        <w:t>10</w:t>
      </w:r>
      <w:r w:rsidR="006A66A4">
        <w:rPr>
          <w:sz w:val="22"/>
        </w:rPr>
        <w:t> </w:t>
      </w:r>
      <w:r w:rsidR="0019710B" w:rsidRPr="0019710B">
        <w:rPr>
          <w:sz w:val="22"/>
        </w:rPr>
        <w:t>Tage</w:t>
      </w:r>
      <w:r w:rsidR="0019710B">
        <w:rPr>
          <w:sz w:val="22"/>
        </w:rPr>
        <w:t>n</w:t>
      </w:r>
      <w:r w:rsidR="0019710B" w:rsidRPr="0019710B">
        <w:rPr>
          <w:sz w:val="22"/>
        </w:rPr>
        <w:t xml:space="preserve"> nach der Impfung</w:t>
      </w:r>
      <w:r w:rsidR="0019710B" w:rsidRPr="00E073A1">
        <w:rPr>
          <w:sz w:val="22"/>
        </w:rPr>
        <w:t xml:space="preserve"> </w:t>
      </w:r>
      <w:r w:rsidR="0019710B">
        <w:rPr>
          <w:sz w:val="22"/>
        </w:rPr>
        <w:t>bis</w:t>
      </w:r>
      <w:r w:rsidRPr="00D569AA">
        <w:rPr>
          <w:sz w:val="22"/>
        </w:rPr>
        <w:t xml:space="preserve"> 729</w:t>
      </w:r>
      <w:r w:rsidR="006A66A4">
        <w:rPr>
          <w:sz w:val="22"/>
        </w:rPr>
        <w:t> </w:t>
      </w:r>
      <w:r w:rsidR="0019710B">
        <w:rPr>
          <w:sz w:val="22"/>
        </w:rPr>
        <w:t>Tage nach der Impfung bei Kindern und Jugendlichen im Alter von</w:t>
      </w:r>
      <w:r w:rsidR="0019710B" w:rsidRPr="00E073A1">
        <w:rPr>
          <w:sz w:val="22"/>
        </w:rPr>
        <w:t xml:space="preserve"> 12 bis</w:t>
      </w:r>
      <w:r w:rsidRPr="00D569AA">
        <w:rPr>
          <w:sz w:val="22"/>
        </w:rPr>
        <w:t xml:space="preserve"> &lt;</w:t>
      </w:r>
      <w:r w:rsidR="0019710B">
        <w:rPr>
          <w:sz w:val="22"/>
        </w:rPr>
        <w:t> </w:t>
      </w:r>
      <w:r w:rsidRPr="00D569AA">
        <w:rPr>
          <w:sz w:val="22"/>
        </w:rPr>
        <w:t>18</w:t>
      </w:r>
      <w:r w:rsidR="006A66A4">
        <w:rPr>
          <w:sz w:val="22"/>
        </w:rPr>
        <w:t> </w:t>
      </w:r>
      <w:r w:rsidR="0019710B">
        <w:rPr>
          <w:sz w:val="22"/>
        </w:rPr>
        <w:t>Jahren</w:t>
      </w:r>
      <w:r w:rsidRPr="00D569AA">
        <w:rPr>
          <w:sz w:val="22"/>
        </w:rPr>
        <w:t xml:space="preserve"> [</w:t>
      </w:r>
      <w:r w:rsidR="001A7660" w:rsidRPr="00D569AA">
        <w:rPr>
          <w:sz w:val="22"/>
          <w:szCs w:val="22"/>
        </w:rPr>
        <w:t>bezüglich</w:t>
      </w:r>
      <w:r w:rsidR="001A7660">
        <w:t xml:space="preserve"> </w:t>
      </w:r>
      <w:r w:rsidR="0019710B">
        <w:rPr>
          <w:sz w:val="22"/>
        </w:rPr>
        <w:t>Immunogenität auswertbare Population in der Langzeit-Follow-</w:t>
      </w:r>
      <w:proofErr w:type="spellStart"/>
      <w:r w:rsidR="0019710B">
        <w:rPr>
          <w:sz w:val="22"/>
        </w:rPr>
        <w:t>up</w:t>
      </w:r>
      <w:proofErr w:type="spellEnd"/>
      <w:r w:rsidR="0019710B">
        <w:rPr>
          <w:sz w:val="22"/>
        </w:rPr>
        <w:t>-Substudie</w:t>
      </w:r>
      <w:r w:rsidRPr="00D569AA">
        <w:rPr>
          <w:sz w:val="22"/>
        </w:rPr>
        <w:t>]</w:t>
      </w:r>
    </w:p>
    <w:p w14:paraId="6F93CC39" w14:textId="77777777" w:rsidR="008D58C1" w:rsidRPr="00E073A1" w:rsidRDefault="008D58C1" w:rsidP="00D569AA">
      <w:pPr>
        <w:keepNext/>
        <w:keepLines/>
      </w:pPr>
    </w:p>
    <w:tbl>
      <w:tblPr>
        <w:tblW w:w="7792" w:type="dxa"/>
        <w:tblLayout w:type="fixed"/>
        <w:tblLook w:val="04A0" w:firstRow="1" w:lastRow="0" w:firstColumn="1" w:lastColumn="0" w:noHBand="0" w:noVBand="1"/>
      </w:tblPr>
      <w:tblGrid>
        <w:gridCol w:w="2415"/>
        <w:gridCol w:w="2542"/>
        <w:gridCol w:w="2835"/>
      </w:tblGrid>
      <w:tr w:rsidR="008D58C1" w:rsidRPr="006A66A4" w14:paraId="2D4E4296" w14:textId="77777777" w:rsidTr="001B5904">
        <w:trPr>
          <w:trHeight w:val="20"/>
        </w:trPr>
        <w:tc>
          <w:tcPr>
            <w:tcW w:w="2415" w:type="dxa"/>
            <w:tcBorders>
              <w:top w:val="single" w:sz="4" w:space="0" w:color="auto"/>
              <w:left w:val="single" w:sz="4" w:space="0" w:color="auto"/>
              <w:bottom w:val="single" w:sz="4" w:space="0" w:color="auto"/>
            </w:tcBorders>
            <w:shd w:val="clear" w:color="auto" w:fill="auto"/>
            <w:vAlign w:val="bottom"/>
          </w:tcPr>
          <w:p w14:paraId="140E8A4A" w14:textId="77777777" w:rsidR="008D58C1" w:rsidRPr="006B1EDF" w:rsidRDefault="008D58C1" w:rsidP="00D569AA">
            <w:pPr>
              <w:pStyle w:val="ParaText"/>
              <w:keepNext/>
              <w:keepLines/>
              <w:spacing w:before="0" w:after="0" w:line="240" w:lineRule="auto"/>
              <w:jc w:val="center"/>
              <w:rPr>
                <w:sz w:val="22"/>
                <w:szCs w:val="22"/>
                <w:lang w:val="de-DE"/>
              </w:rPr>
            </w:pPr>
            <w:r w:rsidRPr="006B1EDF">
              <w:rPr>
                <w:b/>
                <w:sz w:val="22"/>
                <w:szCs w:val="22"/>
                <w:lang w:val="de-DE"/>
              </w:rPr>
              <w:t>Studie mit pädiatrischen Teilnehmern</w:t>
            </w:r>
            <w:r w:rsidRPr="006B1EDF">
              <w:rPr>
                <w:b/>
                <w:sz w:val="22"/>
                <w:szCs w:val="22"/>
                <w:lang w:val="de-DE"/>
              </w:rPr>
              <w:br/>
              <w:t>(12 bis &lt; 18 Jahre)</w:t>
            </w:r>
            <w:r w:rsidRPr="006B1EDF">
              <w:rPr>
                <w:sz w:val="22"/>
                <w:szCs w:val="22"/>
                <w:lang w:val="de-DE"/>
              </w:rPr>
              <w:br/>
              <w:t>Tag nach der Impfung</w:t>
            </w:r>
          </w:p>
        </w:tc>
        <w:tc>
          <w:tcPr>
            <w:tcW w:w="2542" w:type="dxa"/>
            <w:tcBorders>
              <w:top w:val="single" w:sz="4" w:space="0" w:color="auto"/>
              <w:bottom w:val="single" w:sz="4" w:space="0" w:color="auto"/>
            </w:tcBorders>
            <w:shd w:val="clear" w:color="auto" w:fill="auto"/>
            <w:vAlign w:val="bottom"/>
          </w:tcPr>
          <w:p w14:paraId="0CDBFBCC" w14:textId="070F3369" w:rsidR="008D58C1" w:rsidRPr="006B1EDF" w:rsidRDefault="00FF5E86" w:rsidP="00D569AA">
            <w:pPr>
              <w:pStyle w:val="ParaText"/>
              <w:keepNext/>
              <w:keepLines/>
              <w:spacing w:before="0" w:after="0" w:line="240" w:lineRule="auto"/>
              <w:jc w:val="center"/>
              <w:rPr>
                <w:b/>
                <w:sz w:val="22"/>
                <w:szCs w:val="22"/>
                <w:lang w:val="de-DE"/>
              </w:rPr>
            </w:pPr>
            <w:proofErr w:type="spellStart"/>
            <w:r w:rsidRPr="006B1EDF">
              <w:rPr>
                <w:b/>
                <w:sz w:val="22"/>
                <w:szCs w:val="22"/>
                <w:lang w:val="de-DE"/>
              </w:rPr>
              <w:t>V</w:t>
            </w:r>
            <w:r>
              <w:rPr>
                <w:b/>
                <w:sz w:val="22"/>
                <w:szCs w:val="22"/>
                <w:lang w:val="de-DE"/>
              </w:rPr>
              <w:t>axchora</w:t>
            </w:r>
            <w:proofErr w:type="spellEnd"/>
            <w:r w:rsidR="008D58C1" w:rsidRPr="006B1EDF">
              <w:rPr>
                <w:sz w:val="22"/>
                <w:szCs w:val="22"/>
                <w:lang w:val="de-DE"/>
              </w:rPr>
              <w:br/>
              <w:t>N</w:t>
            </w:r>
            <w:r w:rsidR="008D58C1" w:rsidRPr="006B1EDF">
              <w:rPr>
                <w:sz w:val="22"/>
                <w:szCs w:val="22"/>
                <w:vertAlign w:val="superscript"/>
                <w:lang w:val="de-DE"/>
              </w:rPr>
              <w:t>b</w:t>
            </w:r>
          </w:p>
        </w:tc>
        <w:tc>
          <w:tcPr>
            <w:tcW w:w="2835" w:type="dxa"/>
            <w:tcBorders>
              <w:top w:val="single" w:sz="4" w:space="0" w:color="auto"/>
              <w:bottom w:val="single" w:sz="4" w:space="0" w:color="auto"/>
              <w:right w:val="single" w:sz="4" w:space="0" w:color="auto"/>
            </w:tcBorders>
            <w:shd w:val="clear" w:color="auto" w:fill="auto"/>
            <w:vAlign w:val="bottom"/>
          </w:tcPr>
          <w:p w14:paraId="6E577C73" w14:textId="008B60C7" w:rsidR="008D58C1" w:rsidRPr="006B1EDF" w:rsidRDefault="008D58C1" w:rsidP="00D569AA">
            <w:pPr>
              <w:pStyle w:val="ParaText"/>
              <w:keepNext/>
              <w:keepLines/>
              <w:spacing w:before="0" w:after="0" w:line="240" w:lineRule="auto"/>
              <w:jc w:val="center"/>
              <w:rPr>
                <w:b/>
                <w:sz w:val="22"/>
                <w:szCs w:val="22"/>
                <w:lang w:val="de-DE"/>
              </w:rPr>
            </w:pPr>
            <w:proofErr w:type="spellStart"/>
            <w:r w:rsidRPr="006B1EDF">
              <w:rPr>
                <w:b/>
                <w:sz w:val="22"/>
                <w:szCs w:val="22"/>
                <w:lang w:val="de-DE"/>
              </w:rPr>
              <w:t>V</w:t>
            </w:r>
            <w:r w:rsidR="00FF5E86">
              <w:rPr>
                <w:b/>
                <w:sz w:val="22"/>
                <w:szCs w:val="22"/>
                <w:lang w:val="de-DE"/>
              </w:rPr>
              <w:t>axchora</w:t>
            </w:r>
            <w:proofErr w:type="spellEnd"/>
            <w:r w:rsidRPr="006B1EDF">
              <w:rPr>
                <w:b/>
                <w:sz w:val="22"/>
                <w:szCs w:val="22"/>
                <w:lang w:val="de-DE"/>
              </w:rPr>
              <w:br/>
            </w:r>
            <w:proofErr w:type="spellStart"/>
            <w:r w:rsidRPr="006B1EDF">
              <w:rPr>
                <w:b/>
                <w:sz w:val="22"/>
                <w:szCs w:val="22"/>
                <w:lang w:val="de-DE"/>
              </w:rPr>
              <w:t>Serokonversion</w:t>
            </w:r>
            <w:r w:rsidRPr="006B1EDF">
              <w:rPr>
                <w:sz w:val="22"/>
                <w:szCs w:val="22"/>
                <w:vertAlign w:val="superscript"/>
                <w:lang w:val="de-DE"/>
              </w:rPr>
              <w:t>a</w:t>
            </w:r>
            <w:proofErr w:type="spellEnd"/>
            <w:r w:rsidRPr="006B1EDF">
              <w:rPr>
                <w:sz w:val="22"/>
                <w:szCs w:val="22"/>
                <w:lang w:val="de-DE"/>
              </w:rPr>
              <w:br/>
              <w:t>%</w:t>
            </w:r>
            <w:r w:rsidRPr="006B1EDF">
              <w:rPr>
                <w:sz w:val="22"/>
                <w:szCs w:val="22"/>
                <w:lang w:val="de-DE"/>
              </w:rPr>
              <w:br/>
              <w:t>[95%</w:t>
            </w:r>
            <w:r w:rsidR="00827385">
              <w:rPr>
                <w:sz w:val="22"/>
                <w:szCs w:val="22"/>
                <w:lang w:val="de-DE"/>
              </w:rPr>
              <w:noBreakHyphen/>
            </w:r>
            <w:proofErr w:type="spellStart"/>
            <w:r w:rsidRPr="006B1EDF">
              <w:rPr>
                <w:sz w:val="22"/>
                <w:szCs w:val="22"/>
                <w:lang w:val="de-DE"/>
              </w:rPr>
              <w:t>KI</w:t>
            </w:r>
            <w:r w:rsidRPr="006B1EDF">
              <w:rPr>
                <w:sz w:val="22"/>
                <w:szCs w:val="22"/>
                <w:vertAlign w:val="superscript"/>
                <w:lang w:val="de-DE"/>
              </w:rPr>
              <w:t>c</w:t>
            </w:r>
            <w:proofErr w:type="spellEnd"/>
            <w:r w:rsidRPr="006B1EDF">
              <w:rPr>
                <w:sz w:val="22"/>
                <w:szCs w:val="22"/>
                <w:lang w:val="de-DE"/>
              </w:rPr>
              <w:t>]</w:t>
            </w:r>
          </w:p>
        </w:tc>
      </w:tr>
      <w:tr w:rsidR="008D58C1" w:rsidRPr="006A66A4" w14:paraId="4722CD40" w14:textId="77777777" w:rsidTr="001B5904">
        <w:trPr>
          <w:trHeight w:val="20"/>
        </w:trPr>
        <w:tc>
          <w:tcPr>
            <w:tcW w:w="2415" w:type="dxa"/>
            <w:tcBorders>
              <w:top w:val="single" w:sz="4" w:space="0" w:color="auto"/>
              <w:left w:val="single" w:sz="4" w:space="0" w:color="auto"/>
            </w:tcBorders>
            <w:shd w:val="clear" w:color="auto" w:fill="auto"/>
          </w:tcPr>
          <w:p w14:paraId="2E5D433E" w14:textId="77777777"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10</w:t>
            </w:r>
          </w:p>
        </w:tc>
        <w:tc>
          <w:tcPr>
            <w:tcW w:w="2542" w:type="dxa"/>
            <w:tcBorders>
              <w:top w:val="single" w:sz="4" w:space="0" w:color="auto"/>
            </w:tcBorders>
            <w:shd w:val="clear" w:color="auto" w:fill="auto"/>
          </w:tcPr>
          <w:p w14:paraId="4AE977B1" w14:textId="77777777"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72</w:t>
            </w:r>
          </w:p>
        </w:tc>
        <w:tc>
          <w:tcPr>
            <w:tcW w:w="2835" w:type="dxa"/>
            <w:tcBorders>
              <w:top w:val="single" w:sz="4" w:space="0" w:color="auto"/>
              <w:right w:val="single" w:sz="4" w:space="0" w:color="auto"/>
            </w:tcBorders>
            <w:shd w:val="clear" w:color="auto" w:fill="auto"/>
          </w:tcPr>
          <w:p w14:paraId="79A196CA" w14:textId="1F910C7E"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100,0</w:t>
            </w:r>
            <w:r w:rsidR="00FF5E86">
              <w:rPr>
                <w:sz w:val="22"/>
                <w:szCs w:val="22"/>
                <w:lang w:val="de-DE"/>
              </w:rPr>
              <w:t> </w:t>
            </w:r>
            <w:r w:rsidRPr="006B1EDF">
              <w:rPr>
                <w:sz w:val="22"/>
                <w:szCs w:val="22"/>
                <w:lang w:val="de-DE"/>
              </w:rPr>
              <w:t>%</w:t>
            </w:r>
            <w:r w:rsidRPr="006B1EDF">
              <w:rPr>
                <w:sz w:val="22"/>
                <w:szCs w:val="22"/>
                <w:lang w:val="de-DE"/>
              </w:rPr>
              <w:br/>
              <w:t>[94,9</w:t>
            </w:r>
            <w:r w:rsidR="00FF5E86">
              <w:rPr>
                <w:sz w:val="22"/>
                <w:szCs w:val="22"/>
                <w:lang w:val="de-DE"/>
              </w:rPr>
              <w:t> </w:t>
            </w:r>
            <w:r w:rsidRPr="006B1EDF">
              <w:rPr>
                <w:sz w:val="22"/>
                <w:szCs w:val="22"/>
                <w:lang w:val="de-DE"/>
              </w:rPr>
              <w:t>%, 100,0</w:t>
            </w:r>
            <w:r w:rsidR="00FF5E86">
              <w:rPr>
                <w:sz w:val="22"/>
                <w:szCs w:val="22"/>
                <w:lang w:val="de-DE"/>
              </w:rPr>
              <w:t> </w:t>
            </w:r>
            <w:r w:rsidRPr="006B1EDF">
              <w:rPr>
                <w:sz w:val="22"/>
                <w:szCs w:val="22"/>
                <w:lang w:val="de-DE"/>
              </w:rPr>
              <w:t>%]</w:t>
            </w:r>
          </w:p>
        </w:tc>
      </w:tr>
      <w:tr w:rsidR="008D58C1" w:rsidRPr="006A66A4" w14:paraId="5533DCC2" w14:textId="77777777" w:rsidTr="001B5904">
        <w:trPr>
          <w:trHeight w:val="20"/>
        </w:trPr>
        <w:tc>
          <w:tcPr>
            <w:tcW w:w="2415" w:type="dxa"/>
            <w:tcBorders>
              <w:left w:val="single" w:sz="4" w:space="0" w:color="auto"/>
            </w:tcBorders>
            <w:shd w:val="clear" w:color="auto" w:fill="auto"/>
          </w:tcPr>
          <w:p w14:paraId="1D28F27C" w14:textId="77777777"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28</w:t>
            </w:r>
          </w:p>
        </w:tc>
        <w:tc>
          <w:tcPr>
            <w:tcW w:w="2542" w:type="dxa"/>
            <w:shd w:val="clear" w:color="auto" w:fill="auto"/>
          </w:tcPr>
          <w:p w14:paraId="46EB378B" w14:textId="77777777"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72</w:t>
            </w:r>
          </w:p>
        </w:tc>
        <w:tc>
          <w:tcPr>
            <w:tcW w:w="2835" w:type="dxa"/>
            <w:tcBorders>
              <w:right w:val="single" w:sz="4" w:space="0" w:color="auto"/>
            </w:tcBorders>
            <w:shd w:val="clear" w:color="auto" w:fill="auto"/>
          </w:tcPr>
          <w:p w14:paraId="48BEA7B0" w14:textId="5137DE29"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100,0</w:t>
            </w:r>
            <w:r w:rsidR="00FF5E86">
              <w:rPr>
                <w:sz w:val="22"/>
                <w:szCs w:val="22"/>
                <w:lang w:val="de-DE"/>
              </w:rPr>
              <w:t> </w:t>
            </w:r>
            <w:r w:rsidRPr="006B1EDF">
              <w:rPr>
                <w:sz w:val="22"/>
                <w:szCs w:val="22"/>
                <w:lang w:val="de-DE"/>
              </w:rPr>
              <w:t>%</w:t>
            </w:r>
            <w:r w:rsidRPr="006B1EDF">
              <w:rPr>
                <w:sz w:val="22"/>
                <w:szCs w:val="22"/>
                <w:lang w:val="de-DE"/>
              </w:rPr>
              <w:br/>
              <w:t>[94,9</w:t>
            </w:r>
            <w:r w:rsidR="00FF5E86">
              <w:rPr>
                <w:sz w:val="22"/>
                <w:szCs w:val="22"/>
                <w:lang w:val="de-DE"/>
              </w:rPr>
              <w:t> </w:t>
            </w:r>
            <w:r w:rsidRPr="006B1EDF">
              <w:rPr>
                <w:sz w:val="22"/>
                <w:szCs w:val="22"/>
                <w:lang w:val="de-DE"/>
              </w:rPr>
              <w:t>%, 100,0</w:t>
            </w:r>
            <w:r w:rsidR="00FF5E86">
              <w:rPr>
                <w:sz w:val="22"/>
                <w:szCs w:val="22"/>
                <w:lang w:val="de-DE"/>
              </w:rPr>
              <w:t> </w:t>
            </w:r>
            <w:r w:rsidRPr="006B1EDF">
              <w:rPr>
                <w:sz w:val="22"/>
                <w:szCs w:val="22"/>
                <w:lang w:val="de-DE"/>
              </w:rPr>
              <w:t>%]</w:t>
            </w:r>
          </w:p>
        </w:tc>
      </w:tr>
      <w:tr w:rsidR="008D58C1" w:rsidRPr="006A66A4" w14:paraId="6FE421AD" w14:textId="77777777" w:rsidTr="001B5904">
        <w:trPr>
          <w:trHeight w:val="20"/>
        </w:trPr>
        <w:tc>
          <w:tcPr>
            <w:tcW w:w="2415" w:type="dxa"/>
            <w:tcBorders>
              <w:left w:val="single" w:sz="4" w:space="0" w:color="auto"/>
            </w:tcBorders>
            <w:shd w:val="clear" w:color="auto" w:fill="auto"/>
          </w:tcPr>
          <w:p w14:paraId="41A8E5CE" w14:textId="77777777"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90</w:t>
            </w:r>
          </w:p>
        </w:tc>
        <w:tc>
          <w:tcPr>
            <w:tcW w:w="2542" w:type="dxa"/>
            <w:shd w:val="clear" w:color="auto" w:fill="auto"/>
          </w:tcPr>
          <w:p w14:paraId="0784D5D3" w14:textId="77777777"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72</w:t>
            </w:r>
          </w:p>
        </w:tc>
        <w:tc>
          <w:tcPr>
            <w:tcW w:w="2835" w:type="dxa"/>
            <w:tcBorders>
              <w:right w:val="single" w:sz="4" w:space="0" w:color="auto"/>
            </w:tcBorders>
            <w:shd w:val="clear" w:color="auto" w:fill="auto"/>
          </w:tcPr>
          <w:p w14:paraId="0E0BA5CB" w14:textId="49DDCC0D"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88,9</w:t>
            </w:r>
            <w:r w:rsidR="00FF5E86">
              <w:rPr>
                <w:sz w:val="22"/>
                <w:szCs w:val="22"/>
                <w:lang w:val="de-DE"/>
              </w:rPr>
              <w:t> </w:t>
            </w:r>
            <w:r w:rsidRPr="006B1EDF">
              <w:rPr>
                <w:sz w:val="22"/>
                <w:szCs w:val="22"/>
                <w:lang w:val="de-DE"/>
              </w:rPr>
              <w:t>%</w:t>
            </w:r>
            <w:r w:rsidRPr="006B1EDF">
              <w:rPr>
                <w:sz w:val="22"/>
                <w:szCs w:val="22"/>
                <w:lang w:val="de-DE"/>
              </w:rPr>
              <w:br/>
              <w:t>[79,6</w:t>
            </w:r>
            <w:r w:rsidR="00FF5E86">
              <w:rPr>
                <w:sz w:val="22"/>
                <w:szCs w:val="22"/>
                <w:lang w:val="de-DE"/>
              </w:rPr>
              <w:t> </w:t>
            </w:r>
            <w:r w:rsidRPr="006B1EDF">
              <w:rPr>
                <w:sz w:val="22"/>
                <w:szCs w:val="22"/>
                <w:lang w:val="de-DE"/>
              </w:rPr>
              <w:t>%, 94,3</w:t>
            </w:r>
            <w:r w:rsidR="00FF5E86">
              <w:rPr>
                <w:sz w:val="22"/>
                <w:szCs w:val="22"/>
                <w:lang w:val="de-DE"/>
              </w:rPr>
              <w:t> </w:t>
            </w:r>
            <w:r w:rsidRPr="006B1EDF">
              <w:rPr>
                <w:sz w:val="22"/>
                <w:szCs w:val="22"/>
                <w:lang w:val="de-DE"/>
              </w:rPr>
              <w:t>%]</w:t>
            </w:r>
          </w:p>
        </w:tc>
      </w:tr>
      <w:tr w:rsidR="008D58C1" w:rsidRPr="006A66A4" w14:paraId="2E56EB1A" w14:textId="77777777" w:rsidTr="001B5904">
        <w:trPr>
          <w:trHeight w:val="20"/>
        </w:trPr>
        <w:tc>
          <w:tcPr>
            <w:tcW w:w="2415" w:type="dxa"/>
            <w:tcBorders>
              <w:left w:val="single" w:sz="4" w:space="0" w:color="auto"/>
            </w:tcBorders>
            <w:shd w:val="clear" w:color="auto" w:fill="auto"/>
          </w:tcPr>
          <w:p w14:paraId="1DECEE40" w14:textId="77777777"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180</w:t>
            </w:r>
          </w:p>
        </w:tc>
        <w:tc>
          <w:tcPr>
            <w:tcW w:w="2542" w:type="dxa"/>
            <w:shd w:val="clear" w:color="auto" w:fill="auto"/>
          </w:tcPr>
          <w:p w14:paraId="257CBF3B" w14:textId="77777777"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71</w:t>
            </w:r>
          </w:p>
        </w:tc>
        <w:tc>
          <w:tcPr>
            <w:tcW w:w="2835" w:type="dxa"/>
            <w:tcBorders>
              <w:right w:val="single" w:sz="4" w:space="0" w:color="auto"/>
            </w:tcBorders>
            <w:shd w:val="clear" w:color="auto" w:fill="auto"/>
          </w:tcPr>
          <w:p w14:paraId="3DC0F3D4" w14:textId="649F84B1"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83,1</w:t>
            </w:r>
            <w:r w:rsidR="00FF5E86">
              <w:rPr>
                <w:sz w:val="22"/>
                <w:szCs w:val="22"/>
                <w:lang w:val="de-DE"/>
              </w:rPr>
              <w:t> </w:t>
            </w:r>
            <w:r w:rsidRPr="006B1EDF">
              <w:rPr>
                <w:sz w:val="22"/>
                <w:szCs w:val="22"/>
                <w:lang w:val="de-DE"/>
              </w:rPr>
              <w:t>%</w:t>
            </w:r>
            <w:r w:rsidRPr="006B1EDF">
              <w:rPr>
                <w:sz w:val="22"/>
                <w:szCs w:val="22"/>
                <w:lang w:val="de-DE"/>
              </w:rPr>
              <w:br/>
              <w:t>[72,7</w:t>
            </w:r>
            <w:r w:rsidR="00FF5E86">
              <w:rPr>
                <w:sz w:val="22"/>
                <w:szCs w:val="22"/>
                <w:lang w:val="de-DE"/>
              </w:rPr>
              <w:t> </w:t>
            </w:r>
            <w:r w:rsidRPr="006B1EDF">
              <w:rPr>
                <w:sz w:val="22"/>
                <w:szCs w:val="22"/>
                <w:lang w:val="de-DE"/>
              </w:rPr>
              <w:t>%, 90,1</w:t>
            </w:r>
            <w:r w:rsidR="00FF5E86">
              <w:rPr>
                <w:sz w:val="22"/>
                <w:szCs w:val="22"/>
                <w:lang w:val="de-DE"/>
              </w:rPr>
              <w:t> </w:t>
            </w:r>
            <w:r w:rsidRPr="006B1EDF">
              <w:rPr>
                <w:sz w:val="22"/>
                <w:szCs w:val="22"/>
                <w:lang w:val="de-DE"/>
              </w:rPr>
              <w:t>%]</w:t>
            </w:r>
          </w:p>
        </w:tc>
      </w:tr>
      <w:tr w:rsidR="008D58C1" w:rsidRPr="006A66A4" w14:paraId="6C9BF751" w14:textId="77777777" w:rsidTr="001B5904">
        <w:trPr>
          <w:trHeight w:val="20"/>
        </w:trPr>
        <w:tc>
          <w:tcPr>
            <w:tcW w:w="2415" w:type="dxa"/>
            <w:tcBorders>
              <w:left w:val="single" w:sz="4" w:space="0" w:color="auto"/>
            </w:tcBorders>
            <w:shd w:val="clear" w:color="auto" w:fill="auto"/>
          </w:tcPr>
          <w:p w14:paraId="57860B2D" w14:textId="77777777"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364</w:t>
            </w:r>
          </w:p>
        </w:tc>
        <w:tc>
          <w:tcPr>
            <w:tcW w:w="2542" w:type="dxa"/>
            <w:shd w:val="clear" w:color="auto" w:fill="auto"/>
          </w:tcPr>
          <w:p w14:paraId="4C67A92B" w14:textId="77777777"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70</w:t>
            </w:r>
          </w:p>
        </w:tc>
        <w:tc>
          <w:tcPr>
            <w:tcW w:w="2835" w:type="dxa"/>
            <w:tcBorders>
              <w:right w:val="single" w:sz="4" w:space="0" w:color="auto"/>
            </w:tcBorders>
            <w:shd w:val="clear" w:color="auto" w:fill="auto"/>
          </w:tcPr>
          <w:p w14:paraId="3FD1BF12" w14:textId="3C5AA2A6"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68,6</w:t>
            </w:r>
            <w:r w:rsidR="00FF5E86">
              <w:rPr>
                <w:sz w:val="22"/>
                <w:szCs w:val="22"/>
                <w:lang w:val="de-DE"/>
              </w:rPr>
              <w:t> </w:t>
            </w:r>
            <w:r w:rsidRPr="006B1EDF">
              <w:rPr>
                <w:sz w:val="22"/>
                <w:szCs w:val="22"/>
                <w:lang w:val="de-DE"/>
              </w:rPr>
              <w:t>%</w:t>
            </w:r>
            <w:r w:rsidRPr="006B1EDF">
              <w:rPr>
                <w:sz w:val="22"/>
                <w:szCs w:val="22"/>
                <w:lang w:val="de-DE"/>
              </w:rPr>
              <w:br/>
              <w:t>[57,0</w:t>
            </w:r>
            <w:r w:rsidR="00FF5E86">
              <w:rPr>
                <w:sz w:val="22"/>
                <w:szCs w:val="22"/>
                <w:lang w:val="de-DE"/>
              </w:rPr>
              <w:t> </w:t>
            </w:r>
            <w:r w:rsidRPr="006B1EDF">
              <w:rPr>
                <w:sz w:val="22"/>
                <w:szCs w:val="22"/>
                <w:lang w:val="de-DE"/>
              </w:rPr>
              <w:t>%, 78,2</w:t>
            </w:r>
            <w:r w:rsidR="00FF5E86">
              <w:rPr>
                <w:sz w:val="22"/>
                <w:szCs w:val="22"/>
                <w:lang w:val="de-DE"/>
              </w:rPr>
              <w:t> </w:t>
            </w:r>
            <w:r w:rsidRPr="006B1EDF">
              <w:rPr>
                <w:sz w:val="22"/>
                <w:szCs w:val="22"/>
                <w:lang w:val="de-DE"/>
              </w:rPr>
              <w:t>%]</w:t>
            </w:r>
          </w:p>
        </w:tc>
      </w:tr>
      <w:tr w:rsidR="008D58C1" w:rsidRPr="006A66A4" w14:paraId="7C2BF100" w14:textId="77777777" w:rsidTr="001B5904">
        <w:trPr>
          <w:trHeight w:val="20"/>
        </w:trPr>
        <w:tc>
          <w:tcPr>
            <w:tcW w:w="2415" w:type="dxa"/>
            <w:tcBorders>
              <w:left w:val="single" w:sz="4" w:space="0" w:color="auto"/>
            </w:tcBorders>
            <w:shd w:val="clear" w:color="auto" w:fill="auto"/>
          </w:tcPr>
          <w:p w14:paraId="366BE034" w14:textId="77777777"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546</w:t>
            </w:r>
          </w:p>
        </w:tc>
        <w:tc>
          <w:tcPr>
            <w:tcW w:w="2542" w:type="dxa"/>
            <w:shd w:val="clear" w:color="auto" w:fill="auto"/>
          </w:tcPr>
          <w:p w14:paraId="6384F571" w14:textId="77777777"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67</w:t>
            </w:r>
          </w:p>
        </w:tc>
        <w:tc>
          <w:tcPr>
            <w:tcW w:w="2835" w:type="dxa"/>
            <w:tcBorders>
              <w:right w:val="single" w:sz="4" w:space="0" w:color="auto"/>
            </w:tcBorders>
            <w:shd w:val="clear" w:color="auto" w:fill="auto"/>
          </w:tcPr>
          <w:p w14:paraId="7EC8E5FC" w14:textId="23C5050D"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73,1</w:t>
            </w:r>
            <w:r w:rsidR="00FF5E86">
              <w:rPr>
                <w:sz w:val="22"/>
                <w:szCs w:val="22"/>
                <w:lang w:val="de-DE"/>
              </w:rPr>
              <w:t> </w:t>
            </w:r>
            <w:r w:rsidRPr="006B1EDF">
              <w:rPr>
                <w:sz w:val="22"/>
                <w:szCs w:val="22"/>
                <w:lang w:val="de-DE"/>
              </w:rPr>
              <w:t>%</w:t>
            </w:r>
            <w:r w:rsidRPr="006B1EDF">
              <w:rPr>
                <w:sz w:val="22"/>
                <w:szCs w:val="22"/>
                <w:lang w:val="de-DE"/>
              </w:rPr>
              <w:br/>
              <w:t>[61,5</w:t>
            </w:r>
            <w:r w:rsidR="00FF5E86">
              <w:rPr>
                <w:sz w:val="22"/>
                <w:szCs w:val="22"/>
                <w:lang w:val="de-DE"/>
              </w:rPr>
              <w:t> </w:t>
            </w:r>
            <w:r w:rsidRPr="006B1EDF">
              <w:rPr>
                <w:sz w:val="22"/>
                <w:szCs w:val="22"/>
                <w:lang w:val="de-DE"/>
              </w:rPr>
              <w:t>%, 82,3</w:t>
            </w:r>
            <w:r w:rsidR="00FF5E86">
              <w:rPr>
                <w:sz w:val="22"/>
                <w:szCs w:val="22"/>
                <w:lang w:val="de-DE"/>
              </w:rPr>
              <w:t> </w:t>
            </w:r>
            <w:r w:rsidRPr="006B1EDF">
              <w:rPr>
                <w:sz w:val="22"/>
                <w:szCs w:val="22"/>
                <w:lang w:val="de-DE"/>
              </w:rPr>
              <w:t>%]</w:t>
            </w:r>
          </w:p>
        </w:tc>
      </w:tr>
      <w:tr w:rsidR="008D58C1" w:rsidRPr="006A66A4" w14:paraId="4DD90917" w14:textId="77777777" w:rsidTr="001B5904">
        <w:trPr>
          <w:trHeight w:val="20"/>
        </w:trPr>
        <w:tc>
          <w:tcPr>
            <w:tcW w:w="2415" w:type="dxa"/>
            <w:tcBorders>
              <w:left w:val="single" w:sz="4" w:space="0" w:color="auto"/>
              <w:bottom w:val="single" w:sz="4" w:space="0" w:color="auto"/>
            </w:tcBorders>
            <w:shd w:val="clear" w:color="auto" w:fill="auto"/>
          </w:tcPr>
          <w:p w14:paraId="3CC981F7" w14:textId="77777777"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729</w:t>
            </w:r>
          </w:p>
        </w:tc>
        <w:tc>
          <w:tcPr>
            <w:tcW w:w="2542" w:type="dxa"/>
            <w:tcBorders>
              <w:bottom w:val="single" w:sz="4" w:space="0" w:color="auto"/>
            </w:tcBorders>
            <w:shd w:val="clear" w:color="auto" w:fill="auto"/>
          </w:tcPr>
          <w:p w14:paraId="198BA90A" w14:textId="77777777"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62</w:t>
            </w:r>
          </w:p>
        </w:tc>
        <w:tc>
          <w:tcPr>
            <w:tcW w:w="2835" w:type="dxa"/>
            <w:tcBorders>
              <w:bottom w:val="single" w:sz="4" w:space="0" w:color="auto"/>
              <w:right w:val="single" w:sz="4" w:space="0" w:color="auto"/>
            </w:tcBorders>
            <w:shd w:val="clear" w:color="auto" w:fill="auto"/>
          </w:tcPr>
          <w:p w14:paraId="1DE0A2FA" w14:textId="4A8FA8EC" w:rsidR="008D58C1" w:rsidRPr="006B1EDF" w:rsidRDefault="008D58C1" w:rsidP="00D569AA">
            <w:pPr>
              <w:pStyle w:val="ParaText"/>
              <w:keepNext/>
              <w:keepLines/>
              <w:spacing w:before="0" w:after="0" w:line="240" w:lineRule="auto"/>
              <w:jc w:val="center"/>
              <w:rPr>
                <w:sz w:val="22"/>
                <w:szCs w:val="22"/>
                <w:lang w:val="de-DE"/>
              </w:rPr>
            </w:pPr>
            <w:r w:rsidRPr="006B1EDF">
              <w:rPr>
                <w:sz w:val="22"/>
                <w:szCs w:val="22"/>
                <w:lang w:val="de-DE"/>
              </w:rPr>
              <w:t>64,5</w:t>
            </w:r>
            <w:r w:rsidR="00FF5E86">
              <w:rPr>
                <w:sz w:val="22"/>
                <w:szCs w:val="22"/>
                <w:lang w:val="de-DE"/>
              </w:rPr>
              <w:t> </w:t>
            </w:r>
            <w:r w:rsidRPr="006B1EDF">
              <w:rPr>
                <w:sz w:val="22"/>
                <w:szCs w:val="22"/>
                <w:lang w:val="de-DE"/>
              </w:rPr>
              <w:t>%</w:t>
            </w:r>
            <w:r w:rsidRPr="006B1EDF">
              <w:rPr>
                <w:sz w:val="22"/>
                <w:szCs w:val="22"/>
                <w:lang w:val="de-DE"/>
              </w:rPr>
              <w:br/>
              <w:t>[52,1</w:t>
            </w:r>
            <w:r w:rsidR="00FF5E86">
              <w:rPr>
                <w:sz w:val="22"/>
                <w:szCs w:val="22"/>
                <w:lang w:val="de-DE"/>
              </w:rPr>
              <w:t> </w:t>
            </w:r>
            <w:r w:rsidRPr="006B1EDF">
              <w:rPr>
                <w:sz w:val="22"/>
                <w:szCs w:val="22"/>
                <w:lang w:val="de-DE"/>
              </w:rPr>
              <w:t>%, 75,3</w:t>
            </w:r>
            <w:r w:rsidR="00FF5E86">
              <w:rPr>
                <w:sz w:val="22"/>
                <w:szCs w:val="22"/>
                <w:lang w:val="de-DE"/>
              </w:rPr>
              <w:t> </w:t>
            </w:r>
            <w:r w:rsidRPr="006B1EDF">
              <w:rPr>
                <w:sz w:val="22"/>
                <w:szCs w:val="22"/>
                <w:lang w:val="de-DE"/>
              </w:rPr>
              <w:t>%]</w:t>
            </w:r>
          </w:p>
        </w:tc>
      </w:tr>
    </w:tbl>
    <w:p w14:paraId="1A3EA102" w14:textId="17131C69" w:rsidR="008D58C1" w:rsidRPr="00D569AA" w:rsidRDefault="008D58C1" w:rsidP="001B5904">
      <w:pPr>
        <w:pStyle w:val="TableFigureNote"/>
        <w:keepNext/>
        <w:keepLines/>
        <w:spacing w:before="0" w:line="240" w:lineRule="auto"/>
        <w:ind w:left="284" w:hanging="284"/>
        <w:jc w:val="left"/>
        <w:rPr>
          <w:lang w:val="de-DE"/>
        </w:rPr>
      </w:pPr>
      <w:r w:rsidRPr="00D569AA">
        <w:rPr>
          <w:vertAlign w:val="superscript"/>
          <w:lang w:val="de-DE"/>
        </w:rPr>
        <w:t>a</w:t>
      </w:r>
      <w:r w:rsidR="00083EB8">
        <w:rPr>
          <w:lang w:val="de-DE"/>
        </w:rPr>
        <w:tab/>
      </w:r>
      <w:proofErr w:type="spellStart"/>
      <w:r w:rsidR="0019710B" w:rsidRPr="00D569AA">
        <w:rPr>
          <w:lang w:val="de-DE"/>
        </w:rPr>
        <w:t>Serokonversion</w:t>
      </w:r>
      <w:proofErr w:type="spellEnd"/>
      <w:r w:rsidR="0019710B" w:rsidRPr="00D569AA">
        <w:rPr>
          <w:lang w:val="de-DE"/>
        </w:rPr>
        <w:t xml:space="preserve"> ist definiert als die Prozentsätze der Studienteilnehmer, die nach der Impfung einen Anstieg des Antikörper-Titers gegen Vibrionen um mindestens das 4</w:t>
      </w:r>
      <w:r w:rsidR="0019710B" w:rsidRPr="00D569AA">
        <w:rPr>
          <w:lang w:val="de-DE"/>
        </w:rPr>
        <w:noBreakHyphen/>
        <w:t>Fache im Vergleich zum Ausgangswert aufweisen.</w:t>
      </w:r>
    </w:p>
    <w:p w14:paraId="6FB3818C" w14:textId="4A71F681" w:rsidR="008D58C1" w:rsidRPr="00D569AA" w:rsidRDefault="008D58C1" w:rsidP="001B5904">
      <w:pPr>
        <w:pStyle w:val="TableFigureNote"/>
        <w:keepNext/>
        <w:keepLines/>
        <w:spacing w:before="0" w:line="240" w:lineRule="auto"/>
        <w:ind w:left="284" w:hanging="284"/>
        <w:jc w:val="left"/>
        <w:rPr>
          <w:lang w:val="de-DE"/>
        </w:rPr>
      </w:pPr>
      <w:r w:rsidRPr="00D569AA">
        <w:rPr>
          <w:vertAlign w:val="superscript"/>
          <w:lang w:val="de-DE"/>
        </w:rPr>
        <w:t>b</w:t>
      </w:r>
      <w:r w:rsidR="00083EB8">
        <w:rPr>
          <w:lang w:val="de-DE"/>
        </w:rPr>
        <w:tab/>
      </w:r>
      <w:r w:rsidRPr="00D569AA">
        <w:rPr>
          <w:lang w:val="de-DE"/>
        </w:rPr>
        <w:t>N</w:t>
      </w:r>
      <w:r w:rsidR="0019710B" w:rsidRPr="00E073A1">
        <w:rPr>
          <w:lang w:val="de-DE"/>
        </w:rPr>
        <w:t xml:space="preserve"> </w:t>
      </w:r>
      <w:r w:rsidRPr="00D569AA">
        <w:rPr>
          <w:lang w:val="de-DE"/>
        </w:rPr>
        <w:t>=</w:t>
      </w:r>
      <w:r w:rsidR="0019710B" w:rsidRPr="00D569AA">
        <w:rPr>
          <w:lang w:val="de-DE"/>
        </w:rPr>
        <w:t xml:space="preserve"> Anzahl der Studienteilnehmer mit analysierbaren Proben </w:t>
      </w:r>
      <w:proofErr w:type="gramStart"/>
      <w:r w:rsidR="0019710B" w:rsidRPr="00D569AA">
        <w:rPr>
          <w:lang w:val="de-DE"/>
        </w:rPr>
        <w:t xml:space="preserve">in der </w:t>
      </w:r>
      <w:r w:rsidR="001A7660" w:rsidRPr="002D5AC4">
        <w:rPr>
          <w:lang w:val="de-CH"/>
        </w:rPr>
        <w:t xml:space="preserve">bezüglich </w:t>
      </w:r>
      <w:r w:rsidR="0019710B" w:rsidRPr="00D569AA">
        <w:rPr>
          <w:lang w:val="de-DE"/>
        </w:rPr>
        <w:t>Immunogenität</w:t>
      </w:r>
      <w:proofErr w:type="gramEnd"/>
      <w:r w:rsidR="0019710B" w:rsidRPr="00D569AA">
        <w:rPr>
          <w:lang w:val="de-DE"/>
        </w:rPr>
        <w:t xml:space="preserve"> auswertbaren Population der Langzeit-Follow-</w:t>
      </w:r>
      <w:proofErr w:type="spellStart"/>
      <w:r w:rsidR="0019710B" w:rsidRPr="00D569AA">
        <w:rPr>
          <w:lang w:val="de-DE"/>
        </w:rPr>
        <w:t>up</w:t>
      </w:r>
      <w:proofErr w:type="spellEnd"/>
      <w:r w:rsidR="0019710B" w:rsidRPr="00D569AA">
        <w:rPr>
          <w:lang w:val="de-DE"/>
        </w:rPr>
        <w:t>-Substudie.</w:t>
      </w:r>
    </w:p>
    <w:p w14:paraId="547DBE10" w14:textId="5B157A76" w:rsidR="008D58C1" w:rsidRPr="00D569AA" w:rsidRDefault="008D58C1" w:rsidP="001B5904">
      <w:pPr>
        <w:pStyle w:val="TableFigureNote"/>
        <w:keepNext/>
        <w:keepLines/>
        <w:spacing w:before="0" w:line="240" w:lineRule="auto"/>
        <w:ind w:left="284" w:hanging="284"/>
        <w:jc w:val="left"/>
        <w:rPr>
          <w:lang w:val="de-DE"/>
        </w:rPr>
      </w:pPr>
      <w:r w:rsidRPr="00D569AA">
        <w:rPr>
          <w:vertAlign w:val="superscript"/>
          <w:lang w:val="de-DE"/>
        </w:rPr>
        <w:t>c</w:t>
      </w:r>
      <w:r w:rsidR="00083EB8">
        <w:rPr>
          <w:lang w:val="de-DE"/>
        </w:rPr>
        <w:tab/>
      </w:r>
      <w:r w:rsidR="0098709B">
        <w:rPr>
          <w:lang w:val="de-DE"/>
        </w:rPr>
        <w:t>K</w:t>
      </w:r>
      <w:r w:rsidRPr="00D569AA">
        <w:rPr>
          <w:lang w:val="de-DE"/>
        </w:rPr>
        <w:t>I</w:t>
      </w:r>
      <w:r w:rsidR="0019710B" w:rsidRPr="00E073A1">
        <w:rPr>
          <w:lang w:val="de-DE"/>
        </w:rPr>
        <w:t xml:space="preserve"> </w:t>
      </w:r>
      <w:r w:rsidRPr="00D569AA">
        <w:rPr>
          <w:lang w:val="de-DE"/>
        </w:rPr>
        <w:t>=</w:t>
      </w:r>
      <w:r w:rsidR="0019710B" w:rsidRPr="00E073A1">
        <w:rPr>
          <w:lang w:val="de-DE"/>
        </w:rPr>
        <w:t xml:space="preserve"> K</w:t>
      </w:r>
      <w:r w:rsidR="0019710B" w:rsidRPr="000D42C8">
        <w:rPr>
          <w:lang w:val="de-DE"/>
        </w:rPr>
        <w:t>onfidenzintervall.</w:t>
      </w:r>
    </w:p>
    <w:p w14:paraId="1FA57961" w14:textId="77777777" w:rsidR="008B7366" w:rsidRDefault="008B7366" w:rsidP="001B5904"/>
    <w:p w14:paraId="2A2E3DB4" w14:textId="7207619E" w:rsidR="008B7366" w:rsidRDefault="009866CA" w:rsidP="001B5904">
      <w:r>
        <w:t>Die Europäische Arzneimittel-Agentur hat</w:t>
      </w:r>
      <w:r w:rsidR="007803B8">
        <w:t xml:space="preserve"> für </w:t>
      </w:r>
      <w:proofErr w:type="spellStart"/>
      <w:r w:rsidR="007803B8">
        <w:t>Vaxchora</w:t>
      </w:r>
      <w:proofErr w:type="spellEnd"/>
      <w:r>
        <w:t xml:space="preserve"> eine Zurückstellung von der Verpflichtung zur Vorlage </w:t>
      </w:r>
      <w:r w:rsidR="00D21934">
        <w:t xml:space="preserve">von </w:t>
      </w:r>
      <w:r>
        <w:t>Ergebnisse</w:t>
      </w:r>
      <w:r w:rsidR="00D21934">
        <w:t>n</w:t>
      </w:r>
      <w:r w:rsidR="001B5904">
        <w:t xml:space="preserve"> zu </w:t>
      </w:r>
      <w:r>
        <w:t>Studien in einer oder mehreren pädiatrischen Altersklassen zur Untersuchung der Prävention von Cholera gewährt (siehe Abschnitt 4.2 bzgl. Informationen zur Anwendung bei Kindern und Jugendlichen).</w:t>
      </w:r>
    </w:p>
    <w:p w14:paraId="4B01F676" w14:textId="77777777" w:rsidR="008B7366" w:rsidRDefault="008B7366"/>
    <w:p w14:paraId="2558DF11" w14:textId="77777777" w:rsidR="008B7366" w:rsidRDefault="009866CA">
      <w:pPr>
        <w:pStyle w:val="Heading2"/>
      </w:pPr>
      <w:r>
        <w:t>5.2</w:t>
      </w:r>
      <w:r>
        <w:tab/>
        <w:t>Pharmakokinetische Eigenschaften</w:t>
      </w:r>
    </w:p>
    <w:p w14:paraId="5D724C9E" w14:textId="77777777" w:rsidR="008B7366" w:rsidRDefault="008B7366">
      <w:pPr>
        <w:keepNext/>
      </w:pPr>
    </w:p>
    <w:p w14:paraId="04F22125" w14:textId="77777777" w:rsidR="008B7366" w:rsidRDefault="009866CA">
      <w:proofErr w:type="gramStart"/>
      <w:r>
        <w:t>Nicht zutreffend</w:t>
      </w:r>
      <w:proofErr w:type="gramEnd"/>
      <w:r>
        <w:t>.</w:t>
      </w:r>
    </w:p>
    <w:p w14:paraId="57EE3074" w14:textId="77777777" w:rsidR="008B7366" w:rsidRDefault="008B7366"/>
    <w:p w14:paraId="67C5ABD4" w14:textId="77777777" w:rsidR="008B7366" w:rsidRDefault="009866CA">
      <w:pPr>
        <w:pStyle w:val="Heading2"/>
      </w:pPr>
      <w:r>
        <w:t>5.3</w:t>
      </w:r>
      <w:r>
        <w:tab/>
        <w:t>Präklinische Daten zur Sicherheit</w:t>
      </w:r>
    </w:p>
    <w:p w14:paraId="255DCE1E" w14:textId="77777777" w:rsidR="008B7366" w:rsidRDefault="008B7366">
      <w:pPr>
        <w:keepNext/>
      </w:pPr>
    </w:p>
    <w:p w14:paraId="1AB9102B" w14:textId="77777777" w:rsidR="008B7366" w:rsidRDefault="009866CA">
      <w:r>
        <w:t xml:space="preserve">Es liegen keine präklinischen Daten zur Sicherheit für </w:t>
      </w:r>
      <w:proofErr w:type="spellStart"/>
      <w:r>
        <w:t>Vaxchora</w:t>
      </w:r>
      <w:proofErr w:type="spellEnd"/>
      <w:r>
        <w:t xml:space="preserve"> vor.</w:t>
      </w:r>
    </w:p>
    <w:p w14:paraId="48AE0F19" w14:textId="77777777" w:rsidR="008B7366" w:rsidRDefault="008B7366"/>
    <w:p w14:paraId="588604E0" w14:textId="77777777" w:rsidR="008B7366" w:rsidRDefault="008B7366"/>
    <w:p w14:paraId="2875FA91" w14:textId="77777777" w:rsidR="008B7366" w:rsidRDefault="009866CA">
      <w:pPr>
        <w:pStyle w:val="Heading1"/>
      </w:pPr>
      <w:r>
        <w:t>6.</w:t>
      </w:r>
      <w:r>
        <w:tab/>
        <w:t>PHARMAZEUTISCHE ANGABEN</w:t>
      </w:r>
    </w:p>
    <w:p w14:paraId="511A4373" w14:textId="77777777" w:rsidR="008B7366" w:rsidRDefault="008B7366">
      <w:pPr>
        <w:keepNext/>
      </w:pPr>
    </w:p>
    <w:p w14:paraId="779A6425" w14:textId="77777777" w:rsidR="008B7366" w:rsidRDefault="009866CA">
      <w:pPr>
        <w:pStyle w:val="Heading2"/>
      </w:pPr>
      <w:r>
        <w:t>6.1</w:t>
      </w:r>
      <w:r>
        <w:tab/>
        <w:t>Liste der sonstigen Bestandteile</w:t>
      </w:r>
    </w:p>
    <w:p w14:paraId="7900E9AE" w14:textId="77777777" w:rsidR="008B7366" w:rsidRDefault="008B7366">
      <w:pPr>
        <w:keepNext/>
      </w:pPr>
    </w:p>
    <w:p w14:paraId="3311BD5C" w14:textId="2038D912" w:rsidR="008B7366" w:rsidRPr="006B1EDF" w:rsidRDefault="009866CA">
      <w:pPr>
        <w:pStyle w:val="HeadingStrongEmphasis"/>
        <w:rPr>
          <w:b w:val="0"/>
          <w:bCs w:val="0"/>
        </w:rPr>
      </w:pPr>
      <w:r w:rsidRPr="006B1EDF">
        <w:rPr>
          <w:b w:val="0"/>
          <w:bCs w:val="0"/>
        </w:rPr>
        <w:t>Puffer, Beutel</w:t>
      </w:r>
      <w:r w:rsidR="00E97175">
        <w:rPr>
          <w:b w:val="0"/>
          <w:bCs w:val="0"/>
        </w:rPr>
        <w:t> </w:t>
      </w:r>
      <w:r w:rsidRPr="006B1EDF">
        <w:rPr>
          <w:b w:val="0"/>
          <w:bCs w:val="0"/>
        </w:rPr>
        <w:t>1:</w:t>
      </w:r>
    </w:p>
    <w:p w14:paraId="4A9A43B8" w14:textId="77777777" w:rsidR="008B7366" w:rsidRDefault="009866CA">
      <w:r>
        <w:t>Natriumbicarbonat</w:t>
      </w:r>
    </w:p>
    <w:p w14:paraId="1B24C6C2" w14:textId="77777777" w:rsidR="008B7366" w:rsidRDefault="009866CA">
      <w:r>
        <w:t>Natriumcarbonat</w:t>
      </w:r>
    </w:p>
    <w:p w14:paraId="6CE9BCF1" w14:textId="77777777" w:rsidR="008B7366" w:rsidRDefault="009866CA">
      <w:r>
        <w:t>Ascorbinsäure</w:t>
      </w:r>
    </w:p>
    <w:p w14:paraId="5E0259CB" w14:textId="77777777" w:rsidR="008B7366" w:rsidRDefault="009866CA">
      <w:r>
        <w:t>Lactose</w:t>
      </w:r>
    </w:p>
    <w:p w14:paraId="1B3B9E7C" w14:textId="77777777" w:rsidR="008B7366" w:rsidRDefault="008B7366"/>
    <w:p w14:paraId="593BB770" w14:textId="3FEC45F4" w:rsidR="008B7366" w:rsidRPr="006B1EDF" w:rsidRDefault="009866CA">
      <w:pPr>
        <w:pStyle w:val="HeadingStrongEmphasis"/>
        <w:rPr>
          <w:b w:val="0"/>
          <w:bCs w:val="0"/>
        </w:rPr>
      </w:pPr>
      <w:r w:rsidRPr="006B1EDF">
        <w:rPr>
          <w:b w:val="0"/>
          <w:bCs w:val="0"/>
        </w:rPr>
        <w:lastRenderedPageBreak/>
        <w:t>Wirkstoff, Beutel</w:t>
      </w:r>
      <w:r w:rsidR="00E97175">
        <w:rPr>
          <w:b w:val="0"/>
          <w:bCs w:val="0"/>
        </w:rPr>
        <w:t> </w:t>
      </w:r>
      <w:r w:rsidRPr="006B1EDF">
        <w:rPr>
          <w:b w:val="0"/>
          <w:bCs w:val="0"/>
        </w:rPr>
        <w:t>2:</w:t>
      </w:r>
    </w:p>
    <w:p w14:paraId="62F92CF6" w14:textId="44A5C35F" w:rsidR="008B7366" w:rsidRDefault="002C6B90">
      <w:pPr>
        <w:keepNext/>
      </w:pPr>
      <w:r>
        <w:t>Saccharose</w:t>
      </w:r>
    </w:p>
    <w:p w14:paraId="0C3EBB14" w14:textId="77777777" w:rsidR="008B7366" w:rsidRDefault="009866CA">
      <w:pPr>
        <w:keepNext/>
      </w:pPr>
      <w:r>
        <w:t>Hydrolysiertes Casein</w:t>
      </w:r>
    </w:p>
    <w:p w14:paraId="5D9B9C58" w14:textId="77777777" w:rsidR="008B7366" w:rsidRDefault="009866CA">
      <w:pPr>
        <w:keepNext/>
      </w:pPr>
      <w:r>
        <w:t>Ascorbinsäure</w:t>
      </w:r>
    </w:p>
    <w:p w14:paraId="35C9D102" w14:textId="77777777" w:rsidR="008B7366" w:rsidRDefault="009866CA">
      <w:r>
        <w:t>Lactose</w:t>
      </w:r>
    </w:p>
    <w:p w14:paraId="1A6408EE" w14:textId="77777777" w:rsidR="008B7366" w:rsidRDefault="008B7366"/>
    <w:p w14:paraId="0AB745B7" w14:textId="77777777" w:rsidR="008B7366" w:rsidRDefault="009866CA">
      <w:pPr>
        <w:pStyle w:val="Heading2"/>
      </w:pPr>
      <w:r>
        <w:t>6.2</w:t>
      </w:r>
      <w:r>
        <w:tab/>
        <w:t>Inkompatibilitäten</w:t>
      </w:r>
    </w:p>
    <w:p w14:paraId="33FA3A40" w14:textId="77777777" w:rsidR="008B7366" w:rsidRDefault="008B7366">
      <w:pPr>
        <w:keepNext/>
      </w:pPr>
    </w:p>
    <w:p w14:paraId="219968A4" w14:textId="77777777" w:rsidR="008B7366" w:rsidRDefault="009866CA">
      <w:r>
        <w:t>Da keine Kompatibilitätsstudien durchgeführt wurden, darf dieser Impfstoff nicht mit anderen Arzneimitteln gemischt werden.</w:t>
      </w:r>
    </w:p>
    <w:p w14:paraId="155028AF" w14:textId="77777777" w:rsidR="008B7366" w:rsidRDefault="008B7366"/>
    <w:p w14:paraId="3F357187" w14:textId="77777777" w:rsidR="008B7366" w:rsidRDefault="009866CA">
      <w:pPr>
        <w:pStyle w:val="Heading2"/>
      </w:pPr>
      <w:r>
        <w:t>6.3</w:t>
      </w:r>
      <w:r>
        <w:tab/>
        <w:t>Dauer der Haltbarkeit</w:t>
      </w:r>
    </w:p>
    <w:p w14:paraId="00512B7A" w14:textId="77777777" w:rsidR="008B7366" w:rsidRDefault="008B7366">
      <w:pPr>
        <w:keepNext/>
      </w:pPr>
    </w:p>
    <w:p w14:paraId="44FD9C38" w14:textId="77777777" w:rsidR="008B7366" w:rsidRDefault="009866CA">
      <w:r>
        <w:t>18 Monate.</w:t>
      </w:r>
    </w:p>
    <w:p w14:paraId="37067C9B" w14:textId="77777777" w:rsidR="008B7366" w:rsidRDefault="008B7366"/>
    <w:p w14:paraId="0EE72A44" w14:textId="6629ECFC" w:rsidR="008B7366" w:rsidRDefault="009866CA">
      <w:r>
        <w:t>Die Suspension sollte nach der Rekonstitution innerhalb von 15 Minuten eingenommen werden.</w:t>
      </w:r>
    </w:p>
    <w:p w14:paraId="554D3204" w14:textId="77777777" w:rsidR="008B7366" w:rsidRDefault="008B7366"/>
    <w:p w14:paraId="0D84AFF4" w14:textId="77777777" w:rsidR="008B7366" w:rsidRDefault="009866CA">
      <w:pPr>
        <w:pStyle w:val="Heading2"/>
      </w:pPr>
      <w:r>
        <w:t>6.4</w:t>
      </w:r>
      <w:r>
        <w:tab/>
        <w:t>Besondere Vorsichtsmaßnahmen für die Aufbewahrung</w:t>
      </w:r>
    </w:p>
    <w:p w14:paraId="365ED7B7" w14:textId="77777777" w:rsidR="008B7366" w:rsidRDefault="008B7366">
      <w:pPr>
        <w:keepNext/>
      </w:pPr>
    </w:p>
    <w:p w14:paraId="6F866A88" w14:textId="414E75F8" w:rsidR="008B7366" w:rsidRDefault="009866CA">
      <w:r>
        <w:t>Im Kühlschrank lagern (2</w:t>
      </w:r>
      <w:r w:rsidR="00A8290F">
        <w:t> </w:t>
      </w:r>
      <w:r>
        <w:t>°C – 8</w:t>
      </w:r>
      <w:r w:rsidR="00A8290F">
        <w:t> </w:t>
      </w:r>
      <w:r>
        <w:t>°C).</w:t>
      </w:r>
    </w:p>
    <w:p w14:paraId="12B1E88F" w14:textId="3CC32137" w:rsidR="008B7366" w:rsidRDefault="009866CA">
      <w:r>
        <w:t>In der Originalverpackung aufbewahren</w:t>
      </w:r>
      <w:r w:rsidR="006E3FA7">
        <w:t>, um den Inhalt vor Licht und Feuchtigkeit zu schützen</w:t>
      </w:r>
      <w:r>
        <w:t>.</w:t>
      </w:r>
    </w:p>
    <w:p w14:paraId="4E3360E2" w14:textId="7A107FFC" w:rsidR="008B7366" w:rsidRDefault="009866CA">
      <w:r>
        <w:t>Keinen Temperaturen über 25</w:t>
      </w:r>
      <w:r w:rsidR="00922A8F">
        <w:t> </w:t>
      </w:r>
      <w:r>
        <w:t>°C aussetzen.</w:t>
      </w:r>
      <w:r w:rsidR="00652CEC">
        <w:t xml:space="preserve"> </w:t>
      </w:r>
      <w:r w:rsidR="00652CEC" w:rsidRPr="00652CEC">
        <w:t>Die Stabilitätsdaten deuten darauf hin, dass die Bestandteile des Impfstoffs 12</w:t>
      </w:r>
      <w:r w:rsidR="003F38D7">
        <w:t> </w:t>
      </w:r>
      <w:r w:rsidR="00652CEC" w:rsidRPr="00652CEC">
        <w:t>Stunden lang stabil sind, wenn sie bei Temperaturen von 8</w:t>
      </w:r>
      <w:r w:rsidR="003F38D7">
        <w:t> </w:t>
      </w:r>
      <w:r w:rsidR="00652CEC" w:rsidRPr="00652CEC">
        <w:t>°C bis 25</w:t>
      </w:r>
      <w:r w:rsidR="003F38D7">
        <w:t> </w:t>
      </w:r>
      <w:r w:rsidR="00652CEC" w:rsidRPr="00652CEC">
        <w:t xml:space="preserve">°C gelagert werden. Nach Ablauf dieses Zeitraums sollte </w:t>
      </w:r>
      <w:proofErr w:type="spellStart"/>
      <w:r w:rsidR="00652CEC" w:rsidRPr="00652CEC">
        <w:t>Vaxchora</w:t>
      </w:r>
      <w:proofErr w:type="spellEnd"/>
      <w:r w:rsidR="00652CEC" w:rsidRPr="00652CEC">
        <w:t xml:space="preserve"> sofort verwendet oder verworfen werden. Diese Daten </w:t>
      </w:r>
      <w:r w:rsidR="00C4496B">
        <w:t>dienen</w:t>
      </w:r>
      <w:r w:rsidR="00652CEC" w:rsidRPr="00652CEC">
        <w:t xml:space="preserve"> lediglich als Orientierungshilfe für medizinisches Fachpersonal im Falle einer vorübergehenden Temperaturabweichung.</w:t>
      </w:r>
    </w:p>
    <w:p w14:paraId="59B8018A" w14:textId="368653B7" w:rsidR="005F1E60" w:rsidRDefault="005F1E60">
      <w:r w:rsidRPr="00C119D8">
        <w:t>Aufbewahrungsbedingungen nach Rekonstitution des Arzneimittels, siehe Abschnitt</w:t>
      </w:r>
      <w:r w:rsidR="00AB41CF">
        <w:t> </w:t>
      </w:r>
      <w:r w:rsidRPr="00C119D8">
        <w:t>6.3.</w:t>
      </w:r>
    </w:p>
    <w:p w14:paraId="24189B04" w14:textId="77777777" w:rsidR="008B7366" w:rsidRDefault="008B7366"/>
    <w:p w14:paraId="5EFFA4EB" w14:textId="77777777" w:rsidR="008B7366" w:rsidRDefault="009866CA">
      <w:pPr>
        <w:pStyle w:val="Heading2"/>
      </w:pPr>
      <w:r>
        <w:t>6.5</w:t>
      </w:r>
      <w:r>
        <w:tab/>
        <w:t>Art und Inhalt des Behältnisses</w:t>
      </w:r>
    </w:p>
    <w:p w14:paraId="1066BB9E" w14:textId="77777777" w:rsidR="008B7366" w:rsidRDefault="008B7366">
      <w:pPr>
        <w:keepNext/>
      </w:pPr>
    </w:p>
    <w:p w14:paraId="5038539F" w14:textId="77777777" w:rsidR="008B7366" w:rsidRDefault="009866CA">
      <w:r>
        <w:t>Schachtel mit einem Wirkstoff-Beutel und einem Puffer-Beutel.</w:t>
      </w:r>
    </w:p>
    <w:p w14:paraId="1BECCF95" w14:textId="77777777" w:rsidR="008B7366" w:rsidRDefault="009866CA">
      <w:r>
        <w:t>Der Wirkstoff-Beutel enthält 2 g Pulver zur Herstellung einer Suspension zum Einnehmen.</w:t>
      </w:r>
    </w:p>
    <w:p w14:paraId="66E45248" w14:textId="77777777" w:rsidR="008B7366" w:rsidRDefault="009866CA">
      <w:r>
        <w:t>Der Puffer-Beutel enthält 4,5 g Brausepulver.</w:t>
      </w:r>
    </w:p>
    <w:p w14:paraId="6035751D" w14:textId="77777777" w:rsidR="008B7366" w:rsidRDefault="009866CA">
      <w:r>
        <w:t>Der Wirkstoff-Beutel ist aus einer vierlagigen Folie hergestellt: Die äußere Schicht besteht aus Papier, eine Schicht aus Polyethylen niedriger Dichte, eine Schicht aus Aluminiumfolie und die Innenschicht aus Polyethylen niedriger Dichte.</w:t>
      </w:r>
    </w:p>
    <w:p w14:paraId="7DDAB505" w14:textId="77777777" w:rsidR="008B7366" w:rsidRDefault="009866CA">
      <w:r>
        <w:t>Der Puffer-Beutel ist aus einer dreilagigen Folie hergestellt: Die äußere Schicht besteht aus Papier, die mittlere Schicht aus Aluminiumfolie und die Innenschicht aus Polyethylen niedriger Dichte.</w:t>
      </w:r>
    </w:p>
    <w:p w14:paraId="4A5F78B4" w14:textId="77777777" w:rsidR="008B7366" w:rsidRDefault="008B7366"/>
    <w:p w14:paraId="4BA65CD8" w14:textId="660ADF08" w:rsidR="008B7366" w:rsidRDefault="009866CA">
      <w:r>
        <w:t>Packungsgröße: 1 Set mit 2</w:t>
      </w:r>
      <w:r w:rsidR="00083EB8">
        <w:t> </w:t>
      </w:r>
      <w:r>
        <w:t>Beuteln.</w:t>
      </w:r>
      <w:r w:rsidR="002C4C35">
        <w:t xml:space="preserve"> Eine Dosis besteht aus 2 Beuteln (1 </w:t>
      </w:r>
      <w:r w:rsidR="0064240F">
        <w:t>Wirkstoff-Beutel und 1 Puffer-Beutel).</w:t>
      </w:r>
    </w:p>
    <w:p w14:paraId="4844A0F0" w14:textId="77777777" w:rsidR="008B7366" w:rsidRDefault="008B7366"/>
    <w:p w14:paraId="0BDEE232" w14:textId="4A1B12BE" w:rsidR="008B7366" w:rsidRDefault="009866CA">
      <w:pPr>
        <w:pStyle w:val="Heading2"/>
      </w:pPr>
      <w:r>
        <w:t>6.6</w:t>
      </w:r>
      <w:r>
        <w:tab/>
        <w:t>Besondere Vorsichtsmaßnahmen für die Beseitigung und sonstige Hinweise zur Handhabung</w:t>
      </w:r>
    </w:p>
    <w:p w14:paraId="009844D3" w14:textId="77777777" w:rsidR="008B7366" w:rsidRDefault="008B7366">
      <w:pPr>
        <w:keepNext/>
      </w:pPr>
    </w:p>
    <w:p w14:paraId="6C951004" w14:textId="0BAADEE4" w:rsidR="008B7366" w:rsidRDefault="009866CA">
      <w:r>
        <w:t xml:space="preserve">Dieses Arzneimittel enthält genetisch veränderte Organismen. Nicht verwendetes Arzneimittel </w:t>
      </w:r>
      <w:r w:rsidR="002532A0">
        <w:t xml:space="preserve">oder Abfallmaterial </w:t>
      </w:r>
      <w:r>
        <w:t xml:space="preserve">muss in Übereinstimmungen mit den </w:t>
      </w:r>
      <w:r w:rsidR="00533BFB">
        <w:t xml:space="preserve">nationalen </w:t>
      </w:r>
      <w:r>
        <w:t>Richtlinien zur Biosicherheit entsorgt werden.</w:t>
      </w:r>
    </w:p>
    <w:p w14:paraId="2D946097" w14:textId="77777777" w:rsidR="008B7366" w:rsidRDefault="008B7366"/>
    <w:p w14:paraId="304A5EE4" w14:textId="5F5B4A71" w:rsidR="008B7366" w:rsidRDefault="009866CA">
      <w:r>
        <w:t>Die Wirkstoff- und Puffer-Beutel dürfen für die Zubereitung nicht früher als 12 Stunden vor der Rekonstitution aus dem Kühlschrank genommen und bei 25</w:t>
      </w:r>
      <w:r w:rsidR="00DA55A1">
        <w:t> </w:t>
      </w:r>
      <w:r>
        <w:t>°C aufbewahrt werden.</w:t>
      </w:r>
    </w:p>
    <w:p w14:paraId="30272918" w14:textId="4C43A964" w:rsidR="008B7366" w:rsidRDefault="009866CA" w:rsidP="00BF78B5">
      <w:pPr>
        <w:rPr>
          <w:noProof/>
        </w:rPr>
      </w:pPr>
      <w:r>
        <w:t xml:space="preserve">Es ist wichtig, die Beutel in der angegebenen Reihenfolge zu mischen. Im ersten Schritt wird der Inhalt des Puffer-Beutels 1 (ein weißes bis cremefarbenes Pulver) mit 100 ml kohlensäurefreiem </w:t>
      </w:r>
      <w:r w:rsidR="00013541">
        <w:t xml:space="preserve">oder kohlensäurehaltigem </w:t>
      </w:r>
      <w:r w:rsidR="00E302A4">
        <w:t>Tafel- oder Mineralwasser</w:t>
      </w:r>
      <w:r>
        <w:t>, das kalt ist oder Raumtemperatur (≤ 25</w:t>
      </w:r>
      <w:r w:rsidR="00DA55A1">
        <w:t> </w:t>
      </w:r>
      <w:r>
        <w:t xml:space="preserve">°C) hat, in einem Becher gemischt. </w:t>
      </w:r>
      <w:r w:rsidR="00E073A1">
        <w:t xml:space="preserve">NUR bei Kindern im Alter von 2 bis &lt; 6 Jahren sollte die Hälfte (50 ml) der Puffer-Lösung entsorgt werden, bevor der nächste Schritt ausgeführt wird. </w:t>
      </w:r>
      <w:r>
        <w:t xml:space="preserve">Im zweiten Schritt wird der Inhalt des Wirkstoff-Beutels 2 (ein weißes bis beigefarbenes Pulver) hinzugefügt. Die Mischung wird </w:t>
      </w:r>
      <w:r>
        <w:lastRenderedPageBreak/>
        <w:t xml:space="preserve">dann mindestens 30 Sekunden lang gerührt. Der rekonstituierte Impfstoff bildet eine leicht trübe Suspension, die weiße Partikel enthalten kann. </w:t>
      </w:r>
      <w:r w:rsidR="00E073A1">
        <w:t xml:space="preserve">Falls gewünscht, kann </w:t>
      </w:r>
      <w:r w:rsidR="002C6B90">
        <w:rPr>
          <w:noProof/>
        </w:rPr>
        <w:t>Saccharose</w:t>
      </w:r>
      <w:r w:rsidR="00BF78B5">
        <w:rPr>
          <w:noProof/>
        </w:rPr>
        <w:t xml:space="preserve"> </w:t>
      </w:r>
      <w:r w:rsidR="00E073A1">
        <w:t>(bis zu 4 g</w:t>
      </w:r>
      <w:r w:rsidR="008E2051">
        <w:t xml:space="preserve"> bzw. </w:t>
      </w:r>
      <w:r w:rsidR="00E073A1">
        <w:t>1 Teelöffel) oder Stevia-Süßungsmittel (höchstens 1 g</w:t>
      </w:r>
      <w:r w:rsidR="008E2051">
        <w:t xml:space="preserve"> bzw. </w:t>
      </w:r>
      <w:r w:rsidR="00E073A1" w:rsidRPr="00E073A1">
        <w:t>¼</w:t>
      </w:r>
      <w:r w:rsidR="00E073A1">
        <w:t xml:space="preserve"> Teelöffel) in die Suspension eingerührt werden. Es dürfen KEINE anderen Süßungsmittel hinzugefügt werden, da diese die Wirksamkeit des Impfstoffs mindern könnten. </w:t>
      </w:r>
      <w:r>
        <w:t>Die Dosis sollte innerhalb von 15 Minuten nach der Rekonstitution verabreicht werden.</w:t>
      </w:r>
      <w:r w:rsidR="00AB722F">
        <w:t xml:space="preserve"> </w:t>
      </w:r>
      <w:r w:rsidR="00AB722F" w:rsidRPr="00AB722F">
        <w:t>Einige Rückstände können in de</w:t>
      </w:r>
      <w:r w:rsidR="00AB722F">
        <w:t>m Becher</w:t>
      </w:r>
      <w:r w:rsidR="00AB722F" w:rsidRPr="00AB722F">
        <w:t xml:space="preserve"> verbleiben. Der Becher sollte mit Seife und heißem Wasser gewaschen werden.</w:t>
      </w:r>
    </w:p>
    <w:p w14:paraId="69605682" w14:textId="77777777" w:rsidR="008B7366" w:rsidRDefault="008B7366"/>
    <w:p w14:paraId="2FE39C6F" w14:textId="77777777" w:rsidR="008B7366" w:rsidRDefault="009866CA">
      <w:r>
        <w:t>Hinweis: Wenn die Beutel in der falschen Reihenfolge rekonstituiert wurden, muss der Impfstoff verworfen werden.</w:t>
      </w:r>
    </w:p>
    <w:p w14:paraId="49F514AE" w14:textId="77777777" w:rsidR="008B7366" w:rsidRDefault="008B7366"/>
    <w:p w14:paraId="5A27468E" w14:textId="77777777" w:rsidR="008B7366" w:rsidRDefault="008B7366"/>
    <w:p w14:paraId="2FCA8C47" w14:textId="77777777" w:rsidR="008B7366" w:rsidRDefault="009866CA">
      <w:pPr>
        <w:pStyle w:val="Heading1"/>
      </w:pPr>
      <w:r>
        <w:t>7.</w:t>
      </w:r>
      <w:r>
        <w:tab/>
        <w:t>INHABER DER ZULASSUNG</w:t>
      </w:r>
    </w:p>
    <w:p w14:paraId="08745FB4" w14:textId="77777777" w:rsidR="008B7366" w:rsidRDefault="008B7366">
      <w:pPr>
        <w:keepNext/>
      </w:pPr>
    </w:p>
    <w:p w14:paraId="10032BA4" w14:textId="77777777" w:rsidR="009A658A" w:rsidRPr="009D57DD" w:rsidRDefault="009A658A" w:rsidP="009A658A">
      <w:proofErr w:type="spellStart"/>
      <w:r w:rsidRPr="009D57DD">
        <w:t>Bavarian</w:t>
      </w:r>
      <w:proofErr w:type="spellEnd"/>
      <w:r w:rsidRPr="009D57DD">
        <w:t xml:space="preserve"> Nordic A/S</w:t>
      </w:r>
    </w:p>
    <w:p w14:paraId="64ADEEAB" w14:textId="6207DE9A" w:rsidR="009A658A" w:rsidRPr="009D57DD" w:rsidRDefault="009A658A" w:rsidP="009A658A">
      <w:r w:rsidRPr="009D57DD">
        <w:t>Philip Heymans Alle 3</w:t>
      </w:r>
    </w:p>
    <w:p w14:paraId="7FAA09E2" w14:textId="62F39CB3" w:rsidR="009A658A" w:rsidRDefault="009A658A" w:rsidP="009A658A">
      <w:r>
        <w:t xml:space="preserve">DK-2900 </w:t>
      </w:r>
      <w:proofErr w:type="spellStart"/>
      <w:r>
        <w:t>Hellerup</w:t>
      </w:r>
      <w:proofErr w:type="spellEnd"/>
    </w:p>
    <w:p w14:paraId="6A1FB131" w14:textId="181D7DFB" w:rsidR="009A658A" w:rsidRDefault="009A658A" w:rsidP="009A658A">
      <w:r>
        <w:t>Dänemark</w:t>
      </w:r>
    </w:p>
    <w:p w14:paraId="75E9E72E" w14:textId="77777777" w:rsidR="008B7366" w:rsidRDefault="008B7366"/>
    <w:p w14:paraId="2956D5FC" w14:textId="77777777" w:rsidR="008B7366" w:rsidRDefault="008B7366"/>
    <w:p w14:paraId="035BEB35" w14:textId="77777777" w:rsidR="008B7366" w:rsidRDefault="009866CA">
      <w:pPr>
        <w:pStyle w:val="Heading1"/>
      </w:pPr>
      <w:r>
        <w:t>8.</w:t>
      </w:r>
      <w:r>
        <w:tab/>
        <w:t>ZULASSUNGSNUMMER</w:t>
      </w:r>
    </w:p>
    <w:p w14:paraId="785B0EBE" w14:textId="77777777" w:rsidR="008B7366" w:rsidRDefault="008B7366">
      <w:pPr>
        <w:keepNext/>
      </w:pPr>
    </w:p>
    <w:p w14:paraId="58517B98" w14:textId="77777777" w:rsidR="008B7366" w:rsidRDefault="009866CA">
      <w:r>
        <w:t>EU/1/20/1423/001</w:t>
      </w:r>
    </w:p>
    <w:p w14:paraId="48FF57B3" w14:textId="77777777" w:rsidR="008B7366" w:rsidRDefault="008B7366"/>
    <w:p w14:paraId="06D453EF" w14:textId="77777777" w:rsidR="008B7366" w:rsidRDefault="008B7366"/>
    <w:p w14:paraId="1AA4AC80" w14:textId="77777777" w:rsidR="008B7366" w:rsidRDefault="009866CA">
      <w:pPr>
        <w:pStyle w:val="Heading1"/>
      </w:pPr>
      <w:r>
        <w:t>9.</w:t>
      </w:r>
      <w:r>
        <w:tab/>
        <w:t>DATUM DER ERTEILUNG DER ZULASSUNG/VERLÄNGERUNG DER ZULASSUNG</w:t>
      </w:r>
    </w:p>
    <w:p w14:paraId="3A7A7893" w14:textId="77777777" w:rsidR="008B7366" w:rsidRDefault="008B7366">
      <w:pPr>
        <w:keepNext/>
      </w:pPr>
    </w:p>
    <w:p w14:paraId="07708396" w14:textId="77777777" w:rsidR="008B7366" w:rsidRDefault="009866CA">
      <w:r>
        <w:t>Datum der Erteilung der Zulassung:</w:t>
      </w:r>
      <w:r w:rsidR="00C522A8">
        <w:t xml:space="preserve"> 01. April 2020</w:t>
      </w:r>
    </w:p>
    <w:p w14:paraId="0E56F123" w14:textId="752C4BDC" w:rsidR="006B36CF" w:rsidRDefault="00961565">
      <w:r w:rsidRPr="00C119D8">
        <w:t>Datum der letzten Verlängerung der Zulassung:</w:t>
      </w:r>
      <w:r w:rsidR="00A07F52">
        <w:t xml:space="preserve"> 13</w:t>
      </w:r>
      <w:r w:rsidR="00116536">
        <w:t>.</w:t>
      </w:r>
      <w:r w:rsidR="00A07F52">
        <w:t xml:space="preserve"> Januar 2025</w:t>
      </w:r>
    </w:p>
    <w:p w14:paraId="0274BF5A" w14:textId="77777777" w:rsidR="008B7366" w:rsidRDefault="008B7366"/>
    <w:p w14:paraId="53DD9977" w14:textId="77777777" w:rsidR="008B7366" w:rsidRDefault="008B7366"/>
    <w:p w14:paraId="775545CB" w14:textId="77777777" w:rsidR="008B7366" w:rsidRDefault="009866CA">
      <w:pPr>
        <w:pStyle w:val="Heading1"/>
      </w:pPr>
      <w:r>
        <w:t>10.</w:t>
      </w:r>
      <w:r>
        <w:tab/>
        <w:t>STAND DER INFORMATION</w:t>
      </w:r>
    </w:p>
    <w:p w14:paraId="1D636C3E" w14:textId="77777777" w:rsidR="008B7366" w:rsidRDefault="008B7366">
      <w:pPr>
        <w:keepNext/>
      </w:pPr>
    </w:p>
    <w:p w14:paraId="690E423E" w14:textId="20E96E89" w:rsidR="00116536" w:rsidRDefault="00116536">
      <w:pPr>
        <w:keepNext/>
      </w:pPr>
      <w:r>
        <w:t>13. Januar 2025</w:t>
      </w:r>
    </w:p>
    <w:p w14:paraId="012C70A1" w14:textId="77777777" w:rsidR="00116536" w:rsidRDefault="00116536">
      <w:pPr>
        <w:keepNext/>
      </w:pPr>
    </w:p>
    <w:p w14:paraId="29394395" w14:textId="77777777" w:rsidR="00116536" w:rsidRDefault="00116536">
      <w:pPr>
        <w:keepNext/>
      </w:pPr>
    </w:p>
    <w:p w14:paraId="3F977ACD" w14:textId="0D2D3F5F" w:rsidR="008B7366" w:rsidRDefault="009866CA">
      <w:r>
        <w:t xml:space="preserve">Ausführliche Informationen zu diesem Arzneimittel sind auf den Internetseiten der Europäischen Arzneimittel-Agentur </w:t>
      </w:r>
      <w:hyperlink r:id="rId13" w:history="1">
        <w:r w:rsidR="00A1394B" w:rsidRPr="00A1394B">
          <w:rPr>
            <w:rStyle w:val="Hyperlink"/>
            <w:noProof/>
            <w:szCs w:val="20"/>
            <w:lang w:eastAsia="de-DE" w:bidi="de-DE"/>
          </w:rPr>
          <w:t>https://www.ema.europa.eu</w:t>
        </w:r>
      </w:hyperlink>
      <w:r>
        <w:t xml:space="preserve"> verfügbar.</w:t>
      </w:r>
    </w:p>
    <w:p w14:paraId="314ECDD6" w14:textId="77777777" w:rsidR="008B7366" w:rsidRDefault="009866CA">
      <w:r>
        <w:br w:type="page"/>
      </w:r>
    </w:p>
    <w:p w14:paraId="373B4988" w14:textId="77777777" w:rsidR="008B7366" w:rsidRDefault="008B7366"/>
    <w:p w14:paraId="7880C87C" w14:textId="77777777" w:rsidR="008B7366" w:rsidRDefault="008B7366"/>
    <w:p w14:paraId="7F983454" w14:textId="77777777" w:rsidR="008B7366" w:rsidRDefault="008B7366"/>
    <w:p w14:paraId="0D1C8151" w14:textId="77777777" w:rsidR="008B7366" w:rsidRDefault="008B7366"/>
    <w:p w14:paraId="1999AB36" w14:textId="77777777" w:rsidR="008B7366" w:rsidRDefault="008B7366"/>
    <w:p w14:paraId="374A0598" w14:textId="77777777" w:rsidR="008B7366" w:rsidRDefault="008B7366"/>
    <w:p w14:paraId="2DC55CEE" w14:textId="77777777" w:rsidR="008B7366" w:rsidRDefault="008B7366"/>
    <w:p w14:paraId="078ADF98" w14:textId="77777777" w:rsidR="008B7366" w:rsidRDefault="008B7366"/>
    <w:p w14:paraId="75B0887B" w14:textId="77777777" w:rsidR="008B7366" w:rsidRDefault="008B7366"/>
    <w:p w14:paraId="1070D4B7" w14:textId="77777777" w:rsidR="008B7366" w:rsidRDefault="008B7366"/>
    <w:p w14:paraId="539D3809" w14:textId="77777777" w:rsidR="008B7366" w:rsidRDefault="008B7366"/>
    <w:p w14:paraId="517B9D04" w14:textId="77777777" w:rsidR="008B7366" w:rsidRDefault="008B7366"/>
    <w:p w14:paraId="0E4383F0" w14:textId="77777777" w:rsidR="008B7366" w:rsidRDefault="008B7366"/>
    <w:p w14:paraId="4F294DBA" w14:textId="77777777" w:rsidR="008B7366" w:rsidRDefault="008B7366"/>
    <w:p w14:paraId="7E97B39B" w14:textId="77777777" w:rsidR="008B7366" w:rsidRDefault="008B7366"/>
    <w:p w14:paraId="1CD235C0" w14:textId="77777777" w:rsidR="008B7366" w:rsidRDefault="008B7366"/>
    <w:p w14:paraId="4764C4B7" w14:textId="77777777" w:rsidR="008B7366" w:rsidRDefault="008B7366"/>
    <w:p w14:paraId="7FDB82A2" w14:textId="77777777" w:rsidR="008B7366" w:rsidRDefault="008B7366"/>
    <w:p w14:paraId="232F7F1C" w14:textId="77777777" w:rsidR="008B7366" w:rsidRDefault="008B7366"/>
    <w:p w14:paraId="702C0B31" w14:textId="77777777" w:rsidR="008B7366" w:rsidRDefault="008B7366"/>
    <w:p w14:paraId="64B65594" w14:textId="77777777" w:rsidR="008B7366" w:rsidRDefault="008B7366"/>
    <w:p w14:paraId="41FDF57E" w14:textId="77777777" w:rsidR="008B7366" w:rsidRDefault="008B7366"/>
    <w:p w14:paraId="66F5F77C" w14:textId="77777777" w:rsidR="00056985" w:rsidRDefault="00056985"/>
    <w:p w14:paraId="46BFBDBC" w14:textId="77777777" w:rsidR="008B7366" w:rsidRDefault="009866CA">
      <w:pPr>
        <w:pStyle w:val="Title"/>
      </w:pPr>
      <w:r>
        <w:t>ANHANG II</w:t>
      </w:r>
    </w:p>
    <w:p w14:paraId="44DEC2C4" w14:textId="77777777" w:rsidR="008B7366" w:rsidRDefault="008B7366"/>
    <w:p w14:paraId="30E2C181" w14:textId="77777777" w:rsidR="008B7366" w:rsidRDefault="009866CA">
      <w:pPr>
        <w:pStyle w:val="Heading1Indent"/>
      </w:pPr>
      <w:r>
        <w:t>A.</w:t>
      </w:r>
      <w:r>
        <w:tab/>
        <w:t>HERSTELLER DES WIRKSTOFFS/DER WIRKSTOFFE BIOLOGISCHEN URSPRUNGS UND HERSTELLER, DER (DIE) FÜR DIE CHARGENFREIGABE VERANTWORTLICH IST (SIND)</w:t>
      </w:r>
    </w:p>
    <w:p w14:paraId="062645B6" w14:textId="77777777" w:rsidR="008B7366" w:rsidRDefault="008B7366"/>
    <w:p w14:paraId="054D146A" w14:textId="77777777" w:rsidR="008B7366" w:rsidRDefault="009866CA">
      <w:pPr>
        <w:pStyle w:val="Heading1Indent"/>
      </w:pPr>
      <w:r>
        <w:t>B.</w:t>
      </w:r>
      <w:r>
        <w:tab/>
        <w:t>BEDINGUNGEN ODER EINSCHRÄNKUNGEN FÜR DIE ABGABE UND DEN GEBRAUCH</w:t>
      </w:r>
    </w:p>
    <w:p w14:paraId="7914C9F2" w14:textId="77777777" w:rsidR="008B7366" w:rsidRDefault="008B7366"/>
    <w:p w14:paraId="2D9445E5" w14:textId="77777777" w:rsidR="008B7366" w:rsidRDefault="009866CA">
      <w:pPr>
        <w:pStyle w:val="Heading1Indent"/>
      </w:pPr>
      <w:r>
        <w:t>C.</w:t>
      </w:r>
      <w:r>
        <w:tab/>
        <w:t>SONSTIGE BEDINGUNGEN UND AUFLAGEN DER GENEHMIGUNG FÜR DAS INVERKEHRBRINGEN</w:t>
      </w:r>
    </w:p>
    <w:p w14:paraId="2C4A3B22" w14:textId="77777777" w:rsidR="008B7366" w:rsidRDefault="008B7366"/>
    <w:p w14:paraId="36CB5222" w14:textId="77777777" w:rsidR="008B7366" w:rsidRDefault="009866CA">
      <w:pPr>
        <w:pStyle w:val="Heading1Indent"/>
      </w:pPr>
      <w:r>
        <w:t>D.</w:t>
      </w:r>
      <w:r>
        <w:tab/>
        <w:t>BEDINGUNGEN ODER EINSCHRÄNKUNGEN FÜR DIE SICHERE UND WIRKSAME ANWENDUNG DES ARZNEIMITTELS</w:t>
      </w:r>
    </w:p>
    <w:p w14:paraId="311AA078" w14:textId="77777777" w:rsidR="008B7366" w:rsidRDefault="008B7366"/>
    <w:p w14:paraId="658AE552" w14:textId="77777777" w:rsidR="008B7366" w:rsidRDefault="009866CA">
      <w:pPr>
        <w:pStyle w:val="TitleB"/>
      </w:pPr>
      <w:r>
        <w:br w:type="page"/>
      </w:r>
      <w:r>
        <w:lastRenderedPageBreak/>
        <w:t>A.</w:t>
      </w:r>
      <w:r>
        <w:tab/>
        <w:t>HERSTELLER DES WIRKSTOFFS/DER WIRKSTOFFE BIOLOGISCHEN URSPRUNGS UND HERSTELLER, DER (DIE) FÜR DIE CHARGENFREIGABE VERANTWORTLICH IST (SIND)</w:t>
      </w:r>
    </w:p>
    <w:p w14:paraId="1C8C70CE" w14:textId="77777777" w:rsidR="008B7366" w:rsidRDefault="008B7366"/>
    <w:p w14:paraId="52D04588" w14:textId="77777777" w:rsidR="008B7366" w:rsidRDefault="009866CA">
      <w:pPr>
        <w:pStyle w:val="HeadingUnderlined"/>
      </w:pPr>
      <w:r>
        <w:t>Name und Anschrift des (der) Hersteller(s) des Wirkstoffs/der Wirkstoffe biologischen Ursprungs</w:t>
      </w:r>
    </w:p>
    <w:p w14:paraId="1B08632D" w14:textId="77777777" w:rsidR="008B7366" w:rsidRDefault="008B7366"/>
    <w:p w14:paraId="2BD176FD" w14:textId="24141BD1" w:rsidR="008B7366" w:rsidRDefault="00FE7F08">
      <w:proofErr w:type="spellStart"/>
      <w:r>
        <w:t>Bavarian</w:t>
      </w:r>
      <w:proofErr w:type="spellEnd"/>
      <w:r>
        <w:t xml:space="preserve"> Nordic</w:t>
      </w:r>
      <w:r w:rsidR="009866CA">
        <w:t xml:space="preserve"> Berna GmbH</w:t>
      </w:r>
    </w:p>
    <w:p w14:paraId="1DCE7FE2" w14:textId="77777777" w:rsidR="008B7366" w:rsidRDefault="009866CA">
      <w:proofErr w:type="spellStart"/>
      <w:r>
        <w:t>Oberriedstrasse</w:t>
      </w:r>
      <w:proofErr w:type="spellEnd"/>
      <w:r>
        <w:t xml:space="preserve"> 68</w:t>
      </w:r>
    </w:p>
    <w:p w14:paraId="160CCEE1" w14:textId="77777777" w:rsidR="008B7366" w:rsidRDefault="009866CA">
      <w:r>
        <w:t>CH-3174 Thörishaus</w:t>
      </w:r>
    </w:p>
    <w:p w14:paraId="0469560C" w14:textId="77777777" w:rsidR="008B7366" w:rsidRDefault="009866CA">
      <w:r>
        <w:t>Schweiz</w:t>
      </w:r>
    </w:p>
    <w:p w14:paraId="5816C8B3" w14:textId="77777777" w:rsidR="008B7366" w:rsidRDefault="008B7366"/>
    <w:p w14:paraId="7D1E59A9" w14:textId="77777777" w:rsidR="008B7366" w:rsidRDefault="009866CA">
      <w:pPr>
        <w:pStyle w:val="HeadingUnderlined"/>
      </w:pPr>
      <w:r>
        <w:t>Name und Anschrift des (der) Hersteller(s), der (die) für die Chargenfreigabe verantwortlich ist (sind)</w:t>
      </w:r>
    </w:p>
    <w:p w14:paraId="1062920C" w14:textId="77777777" w:rsidR="008B7366" w:rsidRDefault="008B7366"/>
    <w:p w14:paraId="30898E55" w14:textId="77777777" w:rsidR="008B7366" w:rsidRPr="00A07F52" w:rsidRDefault="009866CA">
      <w:pPr>
        <w:rPr>
          <w:lang w:val="fr-CH"/>
        </w:rPr>
      </w:pPr>
      <w:r w:rsidRPr="00A07F52">
        <w:rPr>
          <w:lang w:val="fr-CH"/>
        </w:rPr>
        <w:t xml:space="preserve">IL-CSM </w:t>
      </w:r>
      <w:proofErr w:type="spellStart"/>
      <w:r w:rsidRPr="00A07F52">
        <w:rPr>
          <w:lang w:val="fr-CH"/>
        </w:rPr>
        <w:t>GmbH</w:t>
      </w:r>
      <w:proofErr w:type="spellEnd"/>
    </w:p>
    <w:p w14:paraId="282620A8" w14:textId="77777777" w:rsidR="008B7366" w:rsidRPr="00A07F52" w:rsidRDefault="009866CA">
      <w:pPr>
        <w:rPr>
          <w:lang w:val="fr-CH"/>
        </w:rPr>
      </w:pPr>
      <w:r w:rsidRPr="00A07F52">
        <w:rPr>
          <w:lang w:val="fr-CH"/>
        </w:rPr>
        <w:t>Marie-Curie-</w:t>
      </w:r>
      <w:proofErr w:type="spellStart"/>
      <w:r w:rsidRPr="00A07F52">
        <w:rPr>
          <w:lang w:val="fr-CH"/>
        </w:rPr>
        <w:t>Straße</w:t>
      </w:r>
      <w:proofErr w:type="spellEnd"/>
      <w:r w:rsidRPr="00A07F52">
        <w:rPr>
          <w:lang w:val="fr-CH"/>
        </w:rPr>
        <w:t xml:space="preserve"> 8</w:t>
      </w:r>
    </w:p>
    <w:p w14:paraId="59BF9556" w14:textId="77777777" w:rsidR="008B7366" w:rsidRDefault="009866CA">
      <w:r>
        <w:t>D</w:t>
      </w:r>
      <w:r>
        <w:noBreakHyphen/>
        <w:t>79539 Lörrach</w:t>
      </w:r>
    </w:p>
    <w:p w14:paraId="25D0E8F3" w14:textId="77777777" w:rsidR="008B7366" w:rsidRDefault="009866CA">
      <w:r>
        <w:t>Deutschland</w:t>
      </w:r>
    </w:p>
    <w:p w14:paraId="53FBD1FA" w14:textId="77777777" w:rsidR="008B7366" w:rsidRDefault="008B7366"/>
    <w:p w14:paraId="35A9BA6B" w14:textId="77777777" w:rsidR="008B7366" w:rsidRDefault="008B7366"/>
    <w:p w14:paraId="4B615A43" w14:textId="77777777" w:rsidR="008B7366" w:rsidRDefault="009866CA">
      <w:pPr>
        <w:pStyle w:val="TitleB"/>
      </w:pPr>
      <w:r>
        <w:t>B.</w:t>
      </w:r>
      <w:r>
        <w:tab/>
        <w:t>BEDINGUNGEN ODER EINSCHRÄNKUNGEN FÜR DIE ABGABE UND DEN GEBRAUCH</w:t>
      </w:r>
    </w:p>
    <w:p w14:paraId="70D08970" w14:textId="77777777" w:rsidR="008B7366" w:rsidRDefault="008B7366"/>
    <w:p w14:paraId="0B358A5F" w14:textId="77777777" w:rsidR="008B7366" w:rsidRDefault="009866CA">
      <w:r>
        <w:t>Arzneimittel, das der Verschreibungspflicht unterliegt.</w:t>
      </w:r>
    </w:p>
    <w:p w14:paraId="200A1B95" w14:textId="77777777" w:rsidR="008B7366" w:rsidRDefault="008B7366"/>
    <w:p w14:paraId="3ED0D807" w14:textId="77777777" w:rsidR="008B7366" w:rsidRDefault="009866CA">
      <w:pPr>
        <w:pStyle w:val="Bullet"/>
        <w:rPr>
          <w:rStyle w:val="Strong"/>
        </w:rPr>
      </w:pPr>
      <w:r>
        <w:rPr>
          <w:rStyle w:val="Strong"/>
        </w:rPr>
        <w:t>Amtliche Chargenfreigabe</w:t>
      </w:r>
    </w:p>
    <w:p w14:paraId="6CFC6785" w14:textId="77777777" w:rsidR="008B7366" w:rsidRDefault="008B7366"/>
    <w:p w14:paraId="2A1C577F" w14:textId="0C7B76F6" w:rsidR="008B7366" w:rsidRDefault="009866CA">
      <w:r>
        <w:t>Gemäß Artikel</w:t>
      </w:r>
      <w:r w:rsidR="00083EB8">
        <w:t> </w:t>
      </w:r>
      <w:r>
        <w:t>114 der Richtlinie</w:t>
      </w:r>
      <w:r w:rsidR="00083EB8">
        <w:t> </w:t>
      </w:r>
      <w:r>
        <w:t>2001/83/EG, wird die amtliche Chargenfreigabe von einem amtlichen Arzneimittelkontrolllabor oder einem zu diesem Zweck benannten Labor vorgenommen.</w:t>
      </w:r>
    </w:p>
    <w:p w14:paraId="1C55787C" w14:textId="77777777" w:rsidR="008B7366" w:rsidRDefault="008B7366"/>
    <w:p w14:paraId="15FBDC41" w14:textId="77777777" w:rsidR="008B7366" w:rsidRDefault="008B7366"/>
    <w:p w14:paraId="7A3D6DB8" w14:textId="77777777" w:rsidR="008B7366" w:rsidRDefault="009866CA">
      <w:pPr>
        <w:pStyle w:val="TitleB"/>
      </w:pPr>
      <w:r>
        <w:t>C.</w:t>
      </w:r>
      <w:r>
        <w:tab/>
        <w:t>SONSTIGE BEDINGUNGEN UND AUFLAGEN DER GENEHMIGUNG FÜR DAS INVERKEHRBRINGEN</w:t>
      </w:r>
    </w:p>
    <w:p w14:paraId="21A73052" w14:textId="77777777" w:rsidR="008B7366" w:rsidRDefault="008B7366"/>
    <w:p w14:paraId="25F572A9" w14:textId="77777777" w:rsidR="008B7366" w:rsidRDefault="009866CA">
      <w:pPr>
        <w:pStyle w:val="Bullet"/>
        <w:rPr>
          <w:rStyle w:val="Strong"/>
        </w:rPr>
      </w:pPr>
      <w:r>
        <w:rPr>
          <w:rStyle w:val="Strong"/>
        </w:rPr>
        <w:t>Regelmäßig aktualisierte Unbedenklichkeitsberichte [</w:t>
      </w:r>
      <w:proofErr w:type="spellStart"/>
      <w:r>
        <w:rPr>
          <w:rStyle w:val="Strong"/>
        </w:rPr>
        <w:t>Periodic</w:t>
      </w:r>
      <w:proofErr w:type="spellEnd"/>
      <w:r>
        <w:rPr>
          <w:rStyle w:val="Strong"/>
        </w:rPr>
        <w:t xml:space="preserve"> </w:t>
      </w:r>
      <w:proofErr w:type="spellStart"/>
      <w:r>
        <w:rPr>
          <w:rStyle w:val="Strong"/>
        </w:rPr>
        <w:t>Safety</w:t>
      </w:r>
      <w:proofErr w:type="spellEnd"/>
      <w:r>
        <w:rPr>
          <w:rStyle w:val="Strong"/>
        </w:rPr>
        <w:t xml:space="preserve"> Update Reports (PSURs)]</w:t>
      </w:r>
    </w:p>
    <w:p w14:paraId="543C9210" w14:textId="77777777" w:rsidR="008B7366" w:rsidRDefault="008B7366"/>
    <w:p w14:paraId="32BC5365" w14:textId="0F4FD830" w:rsidR="008B7366" w:rsidRDefault="009866CA">
      <w:r>
        <w:t>Die Anforderungen an die Einreichung von PSURs für dieses Arzneimittel sind in der nach Artikel</w:t>
      </w:r>
      <w:r w:rsidR="00083EB8">
        <w:t> </w:t>
      </w:r>
      <w:r>
        <w:t>107 c Absatz</w:t>
      </w:r>
      <w:r w:rsidR="00083EB8">
        <w:t> </w:t>
      </w:r>
      <w:r>
        <w:t>7 der Richtlinie</w:t>
      </w:r>
      <w:r w:rsidR="00083EB8">
        <w:t> </w:t>
      </w:r>
      <w:r>
        <w:t>2001/83/EG vorgesehenen und im europäischen Internetportal für Arzneimittel veröffentlichten Liste der in der Union festgelegten Stichtage (EURD-Liste) – und allen künftigen Aktualisierungen – festgelegt.</w:t>
      </w:r>
    </w:p>
    <w:p w14:paraId="22CADE4C" w14:textId="77777777" w:rsidR="008B7366" w:rsidRDefault="008B7366"/>
    <w:p w14:paraId="5BBEDEE0" w14:textId="77777777" w:rsidR="008B7366" w:rsidRDefault="008B7366"/>
    <w:p w14:paraId="44792C57" w14:textId="77777777" w:rsidR="008B7366" w:rsidRDefault="009866CA">
      <w:pPr>
        <w:pStyle w:val="TitleB"/>
      </w:pPr>
      <w:r>
        <w:t>D.</w:t>
      </w:r>
      <w:r>
        <w:tab/>
        <w:t>BEDINGUNGEN ODER EINSCHRÄNKUNGEN FÜR DIE SICHERE UND WIRKSAME ANWENDUNG DES ARZNEIMITTELS</w:t>
      </w:r>
    </w:p>
    <w:p w14:paraId="77A6CDD5" w14:textId="77777777" w:rsidR="008B7366" w:rsidRDefault="008B7366">
      <w:pPr>
        <w:keepNext/>
      </w:pPr>
    </w:p>
    <w:p w14:paraId="5533687A" w14:textId="77777777" w:rsidR="008B7366" w:rsidRDefault="009866CA">
      <w:pPr>
        <w:pStyle w:val="Bullet"/>
        <w:keepNext/>
        <w:rPr>
          <w:rStyle w:val="Strong"/>
        </w:rPr>
      </w:pPr>
      <w:r>
        <w:rPr>
          <w:rStyle w:val="Strong"/>
        </w:rPr>
        <w:t>Risikomanagement-Plan (RMP)</w:t>
      </w:r>
    </w:p>
    <w:p w14:paraId="303BF327" w14:textId="77777777" w:rsidR="008B7366" w:rsidRDefault="008B7366">
      <w:pPr>
        <w:keepNext/>
      </w:pPr>
    </w:p>
    <w:p w14:paraId="06EBE90D" w14:textId="56AA9794" w:rsidR="008B7366" w:rsidRDefault="009866CA">
      <w:r>
        <w:t>Der Inhaber der Genehmigung für das Inverkehrbringen (MAH) führt die notwendigen, im vereinbarten RMP beschriebenen und in Modul</w:t>
      </w:r>
      <w:r w:rsidR="00083EB8">
        <w:t> </w:t>
      </w:r>
      <w:r>
        <w:t xml:space="preserve">1.8.2 der Zulassung dargelegten </w:t>
      </w:r>
      <w:proofErr w:type="spellStart"/>
      <w:r>
        <w:t>Pharmakovigilanzaktivitäten</w:t>
      </w:r>
      <w:proofErr w:type="spellEnd"/>
      <w:r>
        <w:t xml:space="preserve"> und Maßnahmen sowie alle künftigen vereinbarten Aktualisierungen des RMP durch.</w:t>
      </w:r>
    </w:p>
    <w:p w14:paraId="23584EF2" w14:textId="77777777" w:rsidR="008B7366" w:rsidRDefault="008B7366"/>
    <w:p w14:paraId="0DD96EBC" w14:textId="77777777" w:rsidR="008B7366" w:rsidRDefault="009866CA" w:rsidP="00194887">
      <w:pPr>
        <w:keepNext/>
      </w:pPr>
      <w:r>
        <w:t>Ein aktualisierter RMP ist einzureichen:</w:t>
      </w:r>
    </w:p>
    <w:p w14:paraId="6979ED73" w14:textId="77777777" w:rsidR="008B7366" w:rsidRDefault="009866CA" w:rsidP="00194887">
      <w:pPr>
        <w:pStyle w:val="Bullet"/>
        <w:ind w:left="567" w:hanging="567"/>
      </w:pPr>
      <w:r>
        <w:t>nach Aufforderung durch die Europäische Arzneimittel-Agentur;</w:t>
      </w:r>
    </w:p>
    <w:p w14:paraId="059735BD" w14:textId="78E19EA2" w:rsidR="008B7366" w:rsidRDefault="009866CA" w:rsidP="00194887">
      <w:pPr>
        <w:pStyle w:val="Bullet"/>
        <w:ind w:left="567" w:hanging="567"/>
      </w:pPr>
      <w:r>
        <w:t>jedes Mal</w:t>
      </w:r>
      <w:r w:rsidR="00DA79B2">
        <w:t>,</w:t>
      </w:r>
      <w:r>
        <w:t xml:space="preserve"> wenn das Risikomanagement-System geändert wird, insbesondere infolge neuer eingegangener Informationen, die zu einer wesentlichen Änderung des Nutzen-Risiko-</w:t>
      </w:r>
      <w:r>
        <w:lastRenderedPageBreak/>
        <w:t>Verhältnisses führen können oder infolge des Erreichens eines wichtigen Meilensteins (in Bezug auf Pharmakovigilanz oder Risikominimierung).</w:t>
      </w:r>
    </w:p>
    <w:p w14:paraId="14F548CA" w14:textId="77777777" w:rsidR="008B7366" w:rsidRDefault="008B7366"/>
    <w:p w14:paraId="20F6188B" w14:textId="77777777" w:rsidR="008B7366" w:rsidRDefault="009866CA">
      <w:pPr>
        <w:pStyle w:val="Bullet"/>
        <w:rPr>
          <w:rStyle w:val="Strong"/>
        </w:rPr>
      </w:pPr>
      <w:r>
        <w:rPr>
          <w:rStyle w:val="Strong"/>
        </w:rPr>
        <w:t>Zusätzliche Maßnahmen zur Risikominimierung</w:t>
      </w:r>
    </w:p>
    <w:p w14:paraId="1C1857F4" w14:textId="77777777" w:rsidR="008B7366" w:rsidRDefault="008B7366"/>
    <w:p w14:paraId="6CF2DBBE" w14:textId="77777777" w:rsidR="008B7366" w:rsidRDefault="009866CA">
      <w:r>
        <w:t xml:space="preserve">Vor der Markteinführung von </w:t>
      </w:r>
      <w:proofErr w:type="spellStart"/>
      <w:r>
        <w:t>Vaxchora</w:t>
      </w:r>
      <w:proofErr w:type="spellEnd"/>
      <w:r>
        <w:t xml:space="preserve"> in den einzelnen Mitgliedsstaaten muss sich der Inhaber der Zulassung mit der nationalen zuständigen Behörde über den Inhalt und das Format des Schulungsprogramms abstimmen; dazu gehören unter anderem Kommunikationsmedien, Vertriebsmodalitäten sowie jegliche sonstigen Aspekte des Programms.</w:t>
      </w:r>
    </w:p>
    <w:p w14:paraId="3BE4F964" w14:textId="77777777" w:rsidR="008B7366" w:rsidRDefault="008B7366"/>
    <w:p w14:paraId="5A40446C" w14:textId="77777777" w:rsidR="008B7366" w:rsidRDefault="009866CA">
      <w:r>
        <w:t>Das Ziel des Schulungsprogramms ist die Minimierung des Risikos von Medikationsfehlern bei der Rekonstitution und Anwendung des Produkts.</w:t>
      </w:r>
    </w:p>
    <w:p w14:paraId="6E8DCDEE" w14:textId="77777777" w:rsidR="008B7366" w:rsidRDefault="008B7366"/>
    <w:p w14:paraId="5122167A" w14:textId="52640E2F" w:rsidR="008B7366" w:rsidRDefault="009866CA">
      <w:r>
        <w:t xml:space="preserve">Der Inhaber der Zulassung muss sicherstellen, dass jeder Mitgliedsstaat, in dem </w:t>
      </w:r>
      <w:r w:rsidR="00DA07A8">
        <w:t xml:space="preserve">der Impfstoff </w:t>
      </w:r>
      <w:r>
        <w:t xml:space="preserve">vertrieben wird, allen medizinischen Fachkräften und Patienten/Betreuern, von denen erwartet wird, dass sie </w:t>
      </w:r>
      <w:r w:rsidR="00DA07A8">
        <w:t xml:space="preserve">diesen Impfstoff </w:t>
      </w:r>
      <w:r>
        <w:t>verschreiben und anwenden, das folgende Schulungspaket zur Verfügung stellt/den Zugriff darauf ermöglicht:</w:t>
      </w:r>
    </w:p>
    <w:p w14:paraId="23C51945" w14:textId="77777777" w:rsidR="008B7366" w:rsidRDefault="008B7366"/>
    <w:p w14:paraId="5B672277" w14:textId="77777777" w:rsidR="008B7366" w:rsidRDefault="009866CA" w:rsidP="003E5A60">
      <w:pPr>
        <w:pStyle w:val="Bullet"/>
      </w:pPr>
      <w:r>
        <w:t>Schulungsmaterial für</w:t>
      </w:r>
      <w:r w:rsidR="003E5A60">
        <w:t xml:space="preserve"> </w:t>
      </w:r>
      <w:r w:rsidR="003E5A60" w:rsidRPr="003E5A60">
        <w:t>medizinische Fachkräfte</w:t>
      </w:r>
    </w:p>
    <w:p w14:paraId="1EA20420" w14:textId="77777777" w:rsidR="008B7366" w:rsidRDefault="009866CA">
      <w:pPr>
        <w:pStyle w:val="Bullet"/>
      </w:pPr>
      <w:r>
        <w:t>Informationspaket für Patienten</w:t>
      </w:r>
    </w:p>
    <w:p w14:paraId="488511BF" w14:textId="77777777" w:rsidR="008B7366" w:rsidRDefault="008B7366"/>
    <w:p w14:paraId="3406A939" w14:textId="77777777" w:rsidR="008B7366" w:rsidRDefault="009866CA">
      <w:pPr>
        <w:pStyle w:val="HeadingStrong"/>
      </w:pPr>
      <w:r>
        <w:t>Schulungsmaterial für</w:t>
      </w:r>
      <w:r w:rsidR="005F6BEE">
        <w:t xml:space="preserve"> </w:t>
      </w:r>
      <w:r w:rsidR="003E5A60" w:rsidRPr="003E5A60">
        <w:t>medizinische Fachkräfte</w:t>
      </w:r>
      <w:r>
        <w:t>:</w:t>
      </w:r>
    </w:p>
    <w:p w14:paraId="7E96CB91" w14:textId="77777777" w:rsidR="008B7366" w:rsidRDefault="009866CA">
      <w:pPr>
        <w:pStyle w:val="Bullet"/>
      </w:pPr>
      <w:r>
        <w:t>Zusammenfassung der Merkmale des Arzneimittels</w:t>
      </w:r>
    </w:p>
    <w:p w14:paraId="7A0C6E09" w14:textId="77777777" w:rsidR="008B7366" w:rsidRDefault="009866CA">
      <w:pPr>
        <w:pStyle w:val="Bullet"/>
      </w:pPr>
      <w:r>
        <w:t>Leitfaden für medizinische Fachkräfte</w:t>
      </w:r>
    </w:p>
    <w:p w14:paraId="49E652EB" w14:textId="77777777" w:rsidR="008B7366" w:rsidRDefault="009866CA">
      <w:pPr>
        <w:pStyle w:val="Bullet"/>
      </w:pPr>
      <w:r>
        <w:t>Leitfaden für Patienten</w:t>
      </w:r>
    </w:p>
    <w:p w14:paraId="2407E0C2" w14:textId="77777777" w:rsidR="008B7366" w:rsidRDefault="009866CA">
      <w:pPr>
        <w:pStyle w:val="Bullet"/>
        <w:rPr>
          <w:rStyle w:val="Strong"/>
        </w:rPr>
      </w:pPr>
      <w:r>
        <w:rPr>
          <w:rStyle w:val="Strong"/>
        </w:rPr>
        <w:t>Leitfaden mit wichtigen Informationen für medizinische Fachkräfte:</w:t>
      </w:r>
    </w:p>
    <w:p w14:paraId="5D462EB8" w14:textId="63810374" w:rsidR="008B7366" w:rsidRDefault="009866CA">
      <w:pPr>
        <w:pStyle w:val="Bullet2"/>
      </w:pPr>
      <w:r>
        <w:t xml:space="preserve">Informationen über das große </w:t>
      </w:r>
      <w:r w:rsidR="005F6BEE">
        <w:t xml:space="preserve">mögliche </w:t>
      </w:r>
      <w:r>
        <w:t xml:space="preserve">Risiko für Medikationsfehler während der Rekonstitution und Anwendung </w:t>
      </w:r>
      <w:r w:rsidR="003F5B8C">
        <w:t>des Impfstoffs</w:t>
      </w:r>
      <w:r>
        <w:t>.</w:t>
      </w:r>
    </w:p>
    <w:p w14:paraId="687B242E" w14:textId="77777777" w:rsidR="005F6BEE" w:rsidRDefault="005F6BEE">
      <w:pPr>
        <w:pStyle w:val="Bullet2"/>
      </w:pPr>
      <w:r>
        <w:t xml:space="preserve">Es besteht ein erhöhtes mögliches Risiko für Medikationsfehler, wenn der Impfstoff für Kinder im Alter von 2 bis &lt; 6 Jahren </w:t>
      </w:r>
      <w:r w:rsidR="00132C88">
        <w:t>zu</w:t>
      </w:r>
      <w:r>
        <w:t>bereitet und ihnen verabreicht wird.</w:t>
      </w:r>
    </w:p>
    <w:p w14:paraId="5727E2A9" w14:textId="77777777" w:rsidR="008B7366" w:rsidRDefault="009866CA">
      <w:pPr>
        <w:pStyle w:val="Bullet2"/>
      </w:pPr>
      <w:r>
        <w:t>Patienten/Betreuer müssen darüber informiert werden, wie die Rekonstitution durchgeführt wird, und diese Anweisungen befolgen.</w:t>
      </w:r>
    </w:p>
    <w:p w14:paraId="302F4117" w14:textId="676E65EF" w:rsidR="008B7366" w:rsidRDefault="009866CA">
      <w:pPr>
        <w:pStyle w:val="Bullet2"/>
      </w:pPr>
      <w:r>
        <w:t xml:space="preserve">Die medizinischen Fachkräfte sollten Patienten und ihre Betreuer darin einweisen, wie </w:t>
      </w:r>
      <w:r w:rsidR="008B7B77">
        <w:t xml:space="preserve">der Impfstoff </w:t>
      </w:r>
      <w:r>
        <w:t>rekonstituiert und verabreicht wird.</w:t>
      </w:r>
    </w:p>
    <w:p w14:paraId="1FE0E513" w14:textId="11497824" w:rsidR="008B7366" w:rsidRDefault="009866CA">
      <w:pPr>
        <w:pStyle w:val="Bullet2"/>
      </w:pPr>
      <w:r>
        <w:t xml:space="preserve">Ausführliche Beschreibung der Verabreichung </w:t>
      </w:r>
      <w:r w:rsidR="008B7B77">
        <w:t>des Impfstoffs</w:t>
      </w:r>
    </w:p>
    <w:p w14:paraId="11C0DBF4" w14:textId="77777777" w:rsidR="008B7366" w:rsidRDefault="008B7366"/>
    <w:p w14:paraId="2EC2CF26" w14:textId="77777777" w:rsidR="008B7366" w:rsidRDefault="009866CA" w:rsidP="00D569AA">
      <w:pPr>
        <w:pStyle w:val="HeadingStrong"/>
        <w:ind w:firstLine="567"/>
      </w:pPr>
      <w:r>
        <w:t>Informationspaket für Patienten:</w:t>
      </w:r>
    </w:p>
    <w:p w14:paraId="02919E6E" w14:textId="77777777" w:rsidR="008B7366" w:rsidRDefault="009866CA">
      <w:pPr>
        <w:pStyle w:val="Bullet2"/>
      </w:pPr>
      <w:r>
        <w:t>Informationsbroschüre für Patienten</w:t>
      </w:r>
    </w:p>
    <w:p w14:paraId="2777893A" w14:textId="77777777" w:rsidR="008B7366" w:rsidRDefault="009866CA">
      <w:pPr>
        <w:pStyle w:val="Bullet2"/>
      </w:pPr>
      <w:r>
        <w:t>Leitfaden für Patienten/Betreuer</w:t>
      </w:r>
    </w:p>
    <w:p w14:paraId="2FD83071" w14:textId="77777777" w:rsidR="00174D71" w:rsidRDefault="00174D71" w:rsidP="00D569AA">
      <w:pPr>
        <w:pStyle w:val="Bullet2"/>
        <w:numPr>
          <w:ilvl w:val="0"/>
          <w:numId w:val="0"/>
        </w:numPr>
        <w:ind w:left="1134"/>
      </w:pPr>
    </w:p>
    <w:p w14:paraId="13C73CA4" w14:textId="77777777" w:rsidR="008B7366" w:rsidRDefault="009866CA">
      <w:pPr>
        <w:pStyle w:val="Bullet"/>
        <w:rPr>
          <w:rStyle w:val="Strong"/>
        </w:rPr>
      </w:pPr>
      <w:r>
        <w:rPr>
          <w:rStyle w:val="Strong"/>
        </w:rPr>
        <w:t>Leitfaden mit wichtigen Informationen für Patienten/Betreuer:</w:t>
      </w:r>
    </w:p>
    <w:p w14:paraId="5D6E0E08" w14:textId="4A92A949" w:rsidR="008B7366" w:rsidRDefault="009866CA">
      <w:pPr>
        <w:pStyle w:val="Bullet2"/>
      </w:pPr>
      <w:r>
        <w:t xml:space="preserve">Informationen darüber, dass </w:t>
      </w:r>
      <w:r w:rsidR="00AB5D7A">
        <w:t xml:space="preserve">der Impfstoff </w:t>
      </w:r>
      <w:r>
        <w:t>wie angewiesen rekonstituiert und verabreicht werden muss.</w:t>
      </w:r>
    </w:p>
    <w:p w14:paraId="621D3A6C" w14:textId="77777777" w:rsidR="00174D71" w:rsidRDefault="00BF78B5">
      <w:pPr>
        <w:pStyle w:val="Bullet2"/>
      </w:pPr>
      <w:r>
        <w:t>Bei der Ausführung der</w:t>
      </w:r>
      <w:r w:rsidR="00174D71">
        <w:t xml:space="preserve"> Anweisungen zur </w:t>
      </w:r>
      <w:r w:rsidR="00132C88">
        <w:t>Zu</w:t>
      </w:r>
      <w:r w:rsidR="00174D71">
        <w:t>bereitung und Verabreichung des Impfstoffs an Kinder im Alter von 2 bis &lt; 6 Jahren ist besondere Aufmerksamkeit geboten.</w:t>
      </w:r>
    </w:p>
    <w:p w14:paraId="16572232" w14:textId="777535CD" w:rsidR="008B7366" w:rsidRDefault="009866CA">
      <w:pPr>
        <w:pStyle w:val="Bullet2"/>
      </w:pPr>
      <w:r>
        <w:t xml:space="preserve">Ausführliche Beschreibungen der Modalitäten bei der Selbstverabreichung </w:t>
      </w:r>
      <w:r w:rsidR="00AB5D7A">
        <w:t>des Impfstoffs</w:t>
      </w:r>
    </w:p>
    <w:p w14:paraId="27C78D4A" w14:textId="77777777" w:rsidR="008B7366" w:rsidRDefault="009866CA">
      <w:pPr>
        <w:pStyle w:val="Bullet2"/>
      </w:pPr>
      <w:r>
        <w:t>Die Bedeutung der Meldung von Medikationsfehlern</w:t>
      </w:r>
    </w:p>
    <w:p w14:paraId="2D842168" w14:textId="77777777" w:rsidR="008B7366" w:rsidRDefault="009866CA">
      <w:r>
        <w:br w:type="page"/>
      </w:r>
    </w:p>
    <w:p w14:paraId="41025E3C" w14:textId="77777777" w:rsidR="008B7366" w:rsidRDefault="008B7366"/>
    <w:p w14:paraId="12E5FA44" w14:textId="77777777" w:rsidR="008B7366" w:rsidRDefault="008B7366"/>
    <w:p w14:paraId="1BBECDB5" w14:textId="77777777" w:rsidR="008B7366" w:rsidRDefault="008B7366"/>
    <w:p w14:paraId="01E66BC7" w14:textId="77777777" w:rsidR="008B7366" w:rsidRDefault="008B7366"/>
    <w:p w14:paraId="7FC16EA8" w14:textId="77777777" w:rsidR="008B7366" w:rsidRDefault="008B7366"/>
    <w:p w14:paraId="3ABF1A2C" w14:textId="77777777" w:rsidR="008B7366" w:rsidRDefault="008B7366"/>
    <w:p w14:paraId="505BCD32" w14:textId="77777777" w:rsidR="008B7366" w:rsidRDefault="008B7366"/>
    <w:p w14:paraId="6CDBCE61" w14:textId="77777777" w:rsidR="008B7366" w:rsidRDefault="008B7366"/>
    <w:p w14:paraId="47894990" w14:textId="77777777" w:rsidR="008B7366" w:rsidRDefault="008B7366"/>
    <w:p w14:paraId="78D7E98F" w14:textId="77777777" w:rsidR="008B7366" w:rsidRDefault="008B7366"/>
    <w:p w14:paraId="0E280166" w14:textId="77777777" w:rsidR="008B7366" w:rsidRDefault="008B7366"/>
    <w:p w14:paraId="2FCA4FA4" w14:textId="77777777" w:rsidR="008B7366" w:rsidRDefault="008B7366"/>
    <w:p w14:paraId="7F5E1925" w14:textId="77777777" w:rsidR="008B7366" w:rsidRDefault="008B7366"/>
    <w:p w14:paraId="57F7A716" w14:textId="77777777" w:rsidR="008B7366" w:rsidRDefault="008B7366"/>
    <w:p w14:paraId="52D1E091" w14:textId="77777777" w:rsidR="008B7366" w:rsidRDefault="008B7366"/>
    <w:p w14:paraId="58A0F1E4" w14:textId="77777777" w:rsidR="008B7366" w:rsidRDefault="008B7366"/>
    <w:p w14:paraId="316CA227" w14:textId="77777777" w:rsidR="008B7366" w:rsidRDefault="008B7366"/>
    <w:p w14:paraId="2F958258" w14:textId="77777777" w:rsidR="008B7366" w:rsidRDefault="008B7366"/>
    <w:p w14:paraId="15B62B16" w14:textId="77777777" w:rsidR="008B7366" w:rsidRDefault="008B7366"/>
    <w:p w14:paraId="089F988D" w14:textId="77777777" w:rsidR="008B7366" w:rsidRDefault="008B7366"/>
    <w:p w14:paraId="6DAC1D7B" w14:textId="77777777" w:rsidR="008B7366" w:rsidRDefault="008B7366"/>
    <w:p w14:paraId="7EF3E3BA" w14:textId="77777777" w:rsidR="008B7366" w:rsidRDefault="008B7366"/>
    <w:p w14:paraId="1A809218" w14:textId="77777777" w:rsidR="005A6023" w:rsidRDefault="005A6023"/>
    <w:p w14:paraId="6D745413" w14:textId="77777777" w:rsidR="008B7366" w:rsidRDefault="009866CA">
      <w:pPr>
        <w:pStyle w:val="Title"/>
      </w:pPr>
      <w:r>
        <w:t>ANHANG III</w:t>
      </w:r>
    </w:p>
    <w:p w14:paraId="22CA4056" w14:textId="77777777" w:rsidR="008B7366" w:rsidRDefault="008B7366"/>
    <w:p w14:paraId="4412D837" w14:textId="77777777" w:rsidR="008B7366" w:rsidRDefault="009866CA">
      <w:pPr>
        <w:pStyle w:val="Title"/>
      </w:pPr>
      <w:r>
        <w:t>ETIKETTIERUNG UND PACKUNGSBEILAGE</w:t>
      </w:r>
    </w:p>
    <w:p w14:paraId="21FD9FEE" w14:textId="77777777" w:rsidR="008B7366" w:rsidRDefault="009866CA" w:rsidP="00022E7D">
      <w:r>
        <w:br w:type="page"/>
      </w:r>
    </w:p>
    <w:p w14:paraId="19ED4129" w14:textId="77777777" w:rsidR="008B7366" w:rsidRDefault="008B7366"/>
    <w:p w14:paraId="3DE97140" w14:textId="77777777" w:rsidR="008B7366" w:rsidRDefault="008B7366"/>
    <w:p w14:paraId="3FAA764C" w14:textId="77777777" w:rsidR="008B7366" w:rsidRDefault="008B7366"/>
    <w:p w14:paraId="0989177B" w14:textId="77777777" w:rsidR="008B7366" w:rsidRDefault="008B7366"/>
    <w:p w14:paraId="6B56834D" w14:textId="77777777" w:rsidR="008B7366" w:rsidRDefault="008B7366"/>
    <w:p w14:paraId="70F814F6" w14:textId="77777777" w:rsidR="008B7366" w:rsidRDefault="008B7366"/>
    <w:p w14:paraId="78490219" w14:textId="77777777" w:rsidR="008B7366" w:rsidRDefault="008B7366"/>
    <w:p w14:paraId="23E2661B" w14:textId="77777777" w:rsidR="008B7366" w:rsidRDefault="008B7366"/>
    <w:p w14:paraId="3F73D860" w14:textId="77777777" w:rsidR="008B7366" w:rsidRDefault="008B7366"/>
    <w:p w14:paraId="5A40A80D" w14:textId="77777777" w:rsidR="008B7366" w:rsidRDefault="008B7366"/>
    <w:p w14:paraId="7D7BD801" w14:textId="77777777" w:rsidR="008B7366" w:rsidRDefault="008B7366"/>
    <w:p w14:paraId="131AA40A" w14:textId="77777777" w:rsidR="008B7366" w:rsidRDefault="008B7366"/>
    <w:p w14:paraId="0013C8E9" w14:textId="77777777" w:rsidR="008B7366" w:rsidRDefault="008B7366"/>
    <w:p w14:paraId="120F4BBE" w14:textId="77777777" w:rsidR="008B7366" w:rsidRDefault="008B7366"/>
    <w:p w14:paraId="6FD97B3C" w14:textId="77777777" w:rsidR="008B7366" w:rsidRDefault="008B7366"/>
    <w:p w14:paraId="055991AC" w14:textId="77777777" w:rsidR="008B7366" w:rsidRDefault="008B7366"/>
    <w:p w14:paraId="583631E6" w14:textId="77777777" w:rsidR="008B7366" w:rsidRDefault="008B7366"/>
    <w:p w14:paraId="32252A29" w14:textId="77777777" w:rsidR="008B7366" w:rsidRDefault="008B7366"/>
    <w:p w14:paraId="56CF260F" w14:textId="77777777" w:rsidR="008B7366" w:rsidRDefault="008B7366"/>
    <w:p w14:paraId="63F3EC02" w14:textId="77777777" w:rsidR="008B7366" w:rsidRDefault="008B7366"/>
    <w:p w14:paraId="1FB1EB69" w14:textId="77777777" w:rsidR="008B7366" w:rsidRDefault="008B7366"/>
    <w:p w14:paraId="07A0D717" w14:textId="77777777" w:rsidR="008B7366" w:rsidRDefault="008B7366"/>
    <w:p w14:paraId="4D6EB078" w14:textId="77777777" w:rsidR="00A53C61" w:rsidRDefault="00A53C61"/>
    <w:p w14:paraId="40684CD2" w14:textId="77777777" w:rsidR="008B7366" w:rsidRDefault="009866CA">
      <w:pPr>
        <w:pStyle w:val="TitleA"/>
      </w:pPr>
      <w:r>
        <w:t>A. ETIKETTIERUNG</w:t>
      </w:r>
    </w:p>
    <w:p w14:paraId="7C57E85B" w14:textId="77777777" w:rsidR="008B7366" w:rsidRDefault="008B7366"/>
    <w:p w14:paraId="5379E39E" w14:textId="77777777" w:rsidR="008B7366" w:rsidRDefault="008B7366"/>
    <w:p w14:paraId="061E0848" w14:textId="77777777" w:rsidR="008B7366" w:rsidRDefault="009866CA">
      <w:pPr>
        <w:pStyle w:val="Heading1LAB"/>
      </w:pPr>
      <w:r>
        <w:br w:type="page"/>
      </w:r>
      <w:r>
        <w:lastRenderedPageBreak/>
        <w:t>ANGABEN AUF DER ÄUSSEREN UMHÜLLUNG</w:t>
      </w:r>
    </w:p>
    <w:p w14:paraId="49306A81" w14:textId="77777777" w:rsidR="008B7366" w:rsidRDefault="008B7366">
      <w:pPr>
        <w:pStyle w:val="Heading1LAB"/>
      </w:pPr>
    </w:p>
    <w:p w14:paraId="6172A11E" w14:textId="77777777" w:rsidR="008B7366" w:rsidRDefault="009866CA">
      <w:pPr>
        <w:pStyle w:val="Heading1LAB"/>
      </w:pPr>
      <w:r>
        <w:t>Einzelne Schachtel</w:t>
      </w:r>
    </w:p>
    <w:p w14:paraId="059BD5F7" w14:textId="77777777" w:rsidR="008B7366" w:rsidRDefault="008B7366"/>
    <w:p w14:paraId="466C24F2" w14:textId="77777777" w:rsidR="008B7366" w:rsidRDefault="008B7366"/>
    <w:p w14:paraId="3DD224F1" w14:textId="77777777" w:rsidR="008B7366" w:rsidRDefault="009866CA">
      <w:pPr>
        <w:pStyle w:val="Heading1LAB"/>
      </w:pPr>
      <w:r>
        <w:t>1.</w:t>
      </w:r>
      <w:r>
        <w:tab/>
        <w:t>BEZEICHNUNG DES ARZNEIMITTELS</w:t>
      </w:r>
    </w:p>
    <w:p w14:paraId="41E000E6" w14:textId="77777777" w:rsidR="008B7366" w:rsidRDefault="008B7366">
      <w:pPr>
        <w:keepNext/>
      </w:pPr>
    </w:p>
    <w:p w14:paraId="498F5F1B" w14:textId="77777777" w:rsidR="008B7366" w:rsidRDefault="009866CA">
      <w:proofErr w:type="spellStart"/>
      <w:r>
        <w:t>Vaxchora</w:t>
      </w:r>
      <w:proofErr w:type="spellEnd"/>
    </w:p>
    <w:p w14:paraId="1C4069B3" w14:textId="77777777" w:rsidR="008B7366" w:rsidRDefault="009866CA">
      <w:r>
        <w:t>Brausepulver und Pulver zur Herstellung einer Suspension zum Einnehmen</w:t>
      </w:r>
    </w:p>
    <w:p w14:paraId="6E23B82A" w14:textId="77777777" w:rsidR="008B7366" w:rsidRDefault="009866CA">
      <w:r>
        <w:t>Cholera-Impfstoff (rekombinant, lebend, zum Einnehmen)</w:t>
      </w:r>
    </w:p>
    <w:p w14:paraId="6B5D0FAD" w14:textId="77777777" w:rsidR="008B7366" w:rsidRDefault="008B7366"/>
    <w:p w14:paraId="6C2F59C1" w14:textId="77777777" w:rsidR="008B7366" w:rsidRDefault="008B7366"/>
    <w:p w14:paraId="6F932F55" w14:textId="3A72887A" w:rsidR="008B7366" w:rsidRDefault="009866CA">
      <w:pPr>
        <w:pStyle w:val="Heading1LAB"/>
      </w:pPr>
      <w:r>
        <w:t>2.</w:t>
      </w:r>
      <w:r>
        <w:tab/>
        <w:t>WIRKSTOFF(E)</w:t>
      </w:r>
    </w:p>
    <w:p w14:paraId="7C8BB135" w14:textId="77777777" w:rsidR="008B7366" w:rsidRDefault="008B7366">
      <w:pPr>
        <w:keepNext/>
      </w:pPr>
    </w:p>
    <w:p w14:paraId="161A3CA9" w14:textId="669DE2F8" w:rsidR="008B7366" w:rsidRDefault="009866CA">
      <w:r>
        <w:t>4</w:t>
      </w:r>
      <w:r w:rsidR="0046610B">
        <w:t> </w:t>
      </w:r>
      <w:r>
        <w:t>×</w:t>
      </w:r>
      <w:r w:rsidR="0046610B">
        <w:t> </w:t>
      </w:r>
      <w:r>
        <w:t>10</w:t>
      </w:r>
      <w:r>
        <w:rPr>
          <w:rStyle w:val="Superscript"/>
        </w:rPr>
        <w:t>8</w:t>
      </w:r>
      <w:r>
        <w:t xml:space="preserve"> bis 2</w:t>
      </w:r>
      <w:r w:rsidR="0046610B">
        <w:t> </w:t>
      </w:r>
      <w:r>
        <w:t>×</w:t>
      </w:r>
      <w:r w:rsidR="0046610B">
        <w:t> </w:t>
      </w:r>
      <w:r>
        <w:t>10</w:t>
      </w:r>
      <w:r>
        <w:rPr>
          <w:rStyle w:val="Superscript"/>
        </w:rPr>
        <w:t>9</w:t>
      </w:r>
      <w:r>
        <w:t xml:space="preserve"> </w:t>
      </w:r>
      <w:r w:rsidR="00A60EE3">
        <w:t>Lebendzellen</w:t>
      </w:r>
      <w:r>
        <w:t xml:space="preserve"> des </w:t>
      </w:r>
      <w:r>
        <w:rPr>
          <w:rStyle w:val="Emphasis"/>
        </w:rPr>
        <w:t>V</w:t>
      </w:r>
      <w:r w:rsidR="0046610B">
        <w:rPr>
          <w:rStyle w:val="Emphasis"/>
        </w:rPr>
        <w:t>ibrio</w:t>
      </w:r>
      <w:r>
        <w:t> </w:t>
      </w:r>
      <w:r>
        <w:rPr>
          <w:rStyle w:val="Emphasis"/>
        </w:rPr>
        <w:t>cholerae</w:t>
      </w:r>
      <w:r>
        <w:t>-Stamms CVD 103-HgR.</w:t>
      </w:r>
    </w:p>
    <w:p w14:paraId="0795E35C" w14:textId="77777777" w:rsidR="008B7366" w:rsidRDefault="008B7366"/>
    <w:p w14:paraId="1C3FEA3C" w14:textId="77777777" w:rsidR="008B7366" w:rsidRDefault="008B7366"/>
    <w:p w14:paraId="5B09C0E9" w14:textId="77777777" w:rsidR="008B7366" w:rsidRDefault="009866CA">
      <w:pPr>
        <w:pStyle w:val="Heading1LAB"/>
      </w:pPr>
      <w:r>
        <w:t>3.</w:t>
      </w:r>
      <w:r>
        <w:tab/>
        <w:t>SONSTIGE BESTANDTEILE</w:t>
      </w:r>
    </w:p>
    <w:p w14:paraId="203A7E91" w14:textId="77777777" w:rsidR="008B7366" w:rsidRDefault="008B7366">
      <w:pPr>
        <w:keepNext/>
      </w:pPr>
    </w:p>
    <w:p w14:paraId="7F1644EF" w14:textId="56EA7687" w:rsidR="008B7366" w:rsidRDefault="009866CA">
      <w:r>
        <w:t xml:space="preserve">Enthält </w:t>
      </w:r>
      <w:r w:rsidR="002C6B90">
        <w:t>Saccharose</w:t>
      </w:r>
      <w:r>
        <w:t xml:space="preserve">, Lactose und Natrium. </w:t>
      </w:r>
      <w:r w:rsidRPr="000116BF">
        <w:rPr>
          <w:highlight w:val="lightGray"/>
        </w:rPr>
        <w:t>Packungsbeilage beachten.</w:t>
      </w:r>
    </w:p>
    <w:p w14:paraId="145F70E0" w14:textId="77777777" w:rsidR="008B7366" w:rsidRDefault="008B7366"/>
    <w:p w14:paraId="2C79F228" w14:textId="77777777" w:rsidR="008B7366" w:rsidRDefault="008B7366"/>
    <w:p w14:paraId="5D4BA585" w14:textId="77777777" w:rsidR="008B7366" w:rsidRDefault="009866CA">
      <w:pPr>
        <w:pStyle w:val="Heading1LAB"/>
      </w:pPr>
      <w:r>
        <w:t>4.</w:t>
      </w:r>
      <w:r>
        <w:tab/>
        <w:t>DARREICHUNGSFORM UND INHALT</w:t>
      </w:r>
    </w:p>
    <w:p w14:paraId="3A19D9FA" w14:textId="77777777" w:rsidR="008B7366" w:rsidRDefault="008B7366">
      <w:pPr>
        <w:keepNext/>
      </w:pPr>
    </w:p>
    <w:p w14:paraId="63153B3D" w14:textId="77777777" w:rsidR="0056117A" w:rsidRDefault="0056117A" w:rsidP="0056117A">
      <w:r w:rsidRPr="006B1EDF">
        <w:rPr>
          <w:shd w:val="clear" w:color="auto" w:fill="D9D9D9" w:themeFill="background1" w:themeFillShade="D9"/>
        </w:rPr>
        <w:t>Brausepulver und Pulver zur Herstellung einer Suspension zum Einnehmen</w:t>
      </w:r>
    </w:p>
    <w:p w14:paraId="0CCC0C90" w14:textId="52193AB4" w:rsidR="008B7366" w:rsidRDefault="009866CA">
      <w:r>
        <w:t>1</w:t>
      </w:r>
      <w:r w:rsidR="00083EB8">
        <w:t> </w:t>
      </w:r>
      <w:r>
        <w:t>Beutel mit Pulver zur Herstellung einer Suspension zum Einnehmen</w:t>
      </w:r>
    </w:p>
    <w:p w14:paraId="0B0AA165" w14:textId="2CEDF9D6" w:rsidR="008B7366" w:rsidRDefault="009866CA">
      <w:r>
        <w:t>1</w:t>
      </w:r>
      <w:r w:rsidR="00083EB8">
        <w:t> </w:t>
      </w:r>
      <w:r>
        <w:t>Beutel mit Brausepulver</w:t>
      </w:r>
    </w:p>
    <w:p w14:paraId="31DE5232" w14:textId="77777777" w:rsidR="008B7366" w:rsidRDefault="009866CA">
      <w:r>
        <w:t>Eine Dosis.</w:t>
      </w:r>
    </w:p>
    <w:p w14:paraId="39040BFA" w14:textId="77777777" w:rsidR="008B7366" w:rsidRDefault="008B7366"/>
    <w:p w14:paraId="6B4C380E" w14:textId="77777777" w:rsidR="008B7366" w:rsidRDefault="008B7366"/>
    <w:p w14:paraId="660F60CD" w14:textId="77777777" w:rsidR="008B7366" w:rsidRDefault="009866CA">
      <w:pPr>
        <w:pStyle w:val="Heading1LAB"/>
      </w:pPr>
      <w:r>
        <w:t>5.</w:t>
      </w:r>
      <w:r>
        <w:tab/>
        <w:t>HINWEISE ZUR UND ART(EN) DER ANWENDUNG</w:t>
      </w:r>
    </w:p>
    <w:p w14:paraId="77019214" w14:textId="77777777" w:rsidR="008B7366" w:rsidRDefault="008B7366">
      <w:pPr>
        <w:keepNext/>
      </w:pPr>
    </w:p>
    <w:p w14:paraId="124E01E7" w14:textId="77777777" w:rsidR="008B7366" w:rsidRDefault="009866CA">
      <w:r>
        <w:t>Packungsbeilage beachten.</w:t>
      </w:r>
    </w:p>
    <w:p w14:paraId="55ABBF7A" w14:textId="6282D721" w:rsidR="008B7366" w:rsidRDefault="009866CA">
      <w:r>
        <w:t>Das Brausepulver (Beutel</w:t>
      </w:r>
      <w:r w:rsidR="00083EB8">
        <w:t> </w:t>
      </w:r>
      <w:r>
        <w:t xml:space="preserve">1) mit </w:t>
      </w:r>
      <w:r w:rsidR="000B6B46">
        <w:t xml:space="preserve">Tafel- oder Mineralwasser </w:t>
      </w:r>
      <w:r>
        <w:t>mischen</w:t>
      </w:r>
      <w:r w:rsidR="000D42C8">
        <w:t xml:space="preserve"> (NUR für Kinder im Alter von 2 bis &lt; 6 Jahren die Hälfte der Lösung entsorgen)</w:t>
      </w:r>
      <w:r>
        <w:t>, den Wirkstoff (Beutel</w:t>
      </w:r>
      <w:r w:rsidR="00083EB8">
        <w:t> </w:t>
      </w:r>
      <w:r>
        <w:t>2) hinzugeben und vor der Einnahme mischen.</w:t>
      </w:r>
    </w:p>
    <w:p w14:paraId="38DD8CE1" w14:textId="77777777" w:rsidR="008B7366" w:rsidRDefault="009866CA">
      <w:r>
        <w:t>Zum Einnehmen.</w:t>
      </w:r>
    </w:p>
    <w:p w14:paraId="26725A3F" w14:textId="77777777" w:rsidR="008B7366" w:rsidRDefault="008B7366"/>
    <w:p w14:paraId="0BFCF9CF" w14:textId="77777777" w:rsidR="008B7366" w:rsidRDefault="008B7366"/>
    <w:p w14:paraId="0308224A" w14:textId="77777777" w:rsidR="008B7366" w:rsidRDefault="009866CA">
      <w:pPr>
        <w:pStyle w:val="Heading1LAB"/>
      </w:pPr>
      <w:r>
        <w:t>6.</w:t>
      </w:r>
      <w:r>
        <w:tab/>
        <w:t>WARNHINWEIS, DASS DAS ARZNEIMITTEL FÜR KINDER UNZUGÄNGLICH AUFZUBEWAHREN IST</w:t>
      </w:r>
    </w:p>
    <w:p w14:paraId="6A182B2D" w14:textId="77777777" w:rsidR="008B7366" w:rsidRDefault="008B7366">
      <w:pPr>
        <w:keepNext/>
      </w:pPr>
    </w:p>
    <w:p w14:paraId="3C3D4354" w14:textId="77777777" w:rsidR="008B7366" w:rsidRDefault="009866CA">
      <w:r>
        <w:t>Arzneimittel für Kinder unzugänglich aufbewahren.</w:t>
      </w:r>
    </w:p>
    <w:p w14:paraId="154CC02A" w14:textId="77777777" w:rsidR="008B7366" w:rsidRDefault="008B7366"/>
    <w:p w14:paraId="3C74CC25" w14:textId="77777777" w:rsidR="008B7366" w:rsidRDefault="008B7366"/>
    <w:p w14:paraId="67C88CD1" w14:textId="77777777" w:rsidR="008B7366" w:rsidRDefault="009866CA">
      <w:pPr>
        <w:pStyle w:val="Heading1LAB"/>
      </w:pPr>
      <w:r>
        <w:t>7.</w:t>
      </w:r>
      <w:r>
        <w:tab/>
        <w:t>WEITERE WARNHINWEISE, FALLS ERFORDERLICH</w:t>
      </w:r>
    </w:p>
    <w:p w14:paraId="13CF24EA" w14:textId="77777777" w:rsidR="008B7366" w:rsidRDefault="008B7366">
      <w:pPr>
        <w:keepNext/>
      </w:pPr>
    </w:p>
    <w:p w14:paraId="0CC7E992" w14:textId="77777777" w:rsidR="008B7366" w:rsidRDefault="008B7366"/>
    <w:p w14:paraId="6C58413B" w14:textId="77777777" w:rsidR="008B7366" w:rsidRDefault="008B7366"/>
    <w:p w14:paraId="10CB614F" w14:textId="77777777" w:rsidR="008B7366" w:rsidRDefault="009866CA">
      <w:pPr>
        <w:pStyle w:val="Heading1LAB"/>
      </w:pPr>
      <w:r>
        <w:t>8.</w:t>
      </w:r>
      <w:r>
        <w:tab/>
        <w:t>VERFALLDATUM</w:t>
      </w:r>
    </w:p>
    <w:p w14:paraId="6560C453" w14:textId="77777777" w:rsidR="008B7366" w:rsidRDefault="008B7366">
      <w:pPr>
        <w:keepNext/>
      </w:pPr>
    </w:p>
    <w:p w14:paraId="4C589FEF" w14:textId="5083F583" w:rsidR="008B7366" w:rsidRDefault="00103330">
      <w:r>
        <w:t>verwendbar bis</w:t>
      </w:r>
    </w:p>
    <w:p w14:paraId="7EFC705B" w14:textId="77777777" w:rsidR="008B7366" w:rsidRDefault="008B7366"/>
    <w:p w14:paraId="356F5FC6" w14:textId="77777777" w:rsidR="008B7366" w:rsidRDefault="008B7366"/>
    <w:p w14:paraId="0CBA0D91" w14:textId="77777777" w:rsidR="008B7366" w:rsidRDefault="009866CA">
      <w:pPr>
        <w:pStyle w:val="Heading1LAB"/>
      </w:pPr>
      <w:r>
        <w:lastRenderedPageBreak/>
        <w:t>9.</w:t>
      </w:r>
      <w:r>
        <w:tab/>
        <w:t>BESONDERE VORSICHTSMASSNAHMEN FÜR DIE AUFBEWAHRUNG</w:t>
      </w:r>
    </w:p>
    <w:p w14:paraId="58A736F6" w14:textId="77777777" w:rsidR="008B7366" w:rsidRDefault="008B7366">
      <w:pPr>
        <w:keepNext/>
      </w:pPr>
    </w:p>
    <w:p w14:paraId="21F4598E" w14:textId="77777777" w:rsidR="008B7366" w:rsidRDefault="009866CA">
      <w:r>
        <w:t>Im Kühlschrank lagern.</w:t>
      </w:r>
    </w:p>
    <w:p w14:paraId="1E542717" w14:textId="221E8FD5" w:rsidR="00BD0414" w:rsidRDefault="00FE42EB">
      <w:r>
        <w:t>In der Originalverpackung aufbewahren, um den Inhalt vor Licht und Feuchtigkeit zu schützen.</w:t>
      </w:r>
    </w:p>
    <w:p w14:paraId="361C5C6D" w14:textId="77777777" w:rsidR="008B7366" w:rsidRDefault="008B7366"/>
    <w:p w14:paraId="79129224" w14:textId="77777777" w:rsidR="008B7366" w:rsidRDefault="008B7366"/>
    <w:p w14:paraId="587D7965" w14:textId="77777777" w:rsidR="008B7366" w:rsidRDefault="009866CA">
      <w:pPr>
        <w:pStyle w:val="Heading1LAB"/>
      </w:pPr>
      <w:r>
        <w:t>10.</w:t>
      </w:r>
      <w:r>
        <w:tab/>
        <w:t>GEGEBENENFALLS BESONDERE VORSICHTSMASSNAHMEN FÜR DIE BESEITIGUNG VON NICHT VERWENDETEM ARZNEIMITTEL ODER DAVON STAMMENDEN ABFALLMATERIALIEN</w:t>
      </w:r>
    </w:p>
    <w:p w14:paraId="60A6FD84" w14:textId="77777777" w:rsidR="008B7366" w:rsidRDefault="008B7366">
      <w:pPr>
        <w:keepNext/>
      </w:pPr>
    </w:p>
    <w:p w14:paraId="0158AB64" w14:textId="716E8B56" w:rsidR="008B7366" w:rsidRDefault="009866CA">
      <w:r>
        <w:t xml:space="preserve">Dieses Arzneimittel enthält genetisch veränderte Organismen. Nicht verwendetes Arzneimittel </w:t>
      </w:r>
      <w:r w:rsidR="005F3FDB">
        <w:t xml:space="preserve">oder Abfallmaterial </w:t>
      </w:r>
      <w:r>
        <w:t xml:space="preserve">muss in Übereinstimmungen mit den </w:t>
      </w:r>
      <w:r w:rsidR="002E267F">
        <w:t xml:space="preserve">nationalen </w:t>
      </w:r>
      <w:r>
        <w:t>Richtlinien zur Biosicherheit entsorgt werden.</w:t>
      </w:r>
    </w:p>
    <w:p w14:paraId="41B3C729" w14:textId="77777777" w:rsidR="008B7366" w:rsidRDefault="008B7366"/>
    <w:p w14:paraId="28EC53B4" w14:textId="77777777" w:rsidR="008B7366" w:rsidRDefault="008B7366"/>
    <w:p w14:paraId="0D53DD3C" w14:textId="77777777" w:rsidR="008B7366" w:rsidRDefault="009866CA">
      <w:pPr>
        <w:pStyle w:val="Heading1LAB"/>
      </w:pPr>
      <w:r>
        <w:t>11.</w:t>
      </w:r>
      <w:r>
        <w:tab/>
        <w:t>NAME UND ANSCHRIFT DES PHARMAZEUTISCHEN UNTERNEHMERS</w:t>
      </w:r>
    </w:p>
    <w:p w14:paraId="655B0D27" w14:textId="77777777" w:rsidR="008B7366" w:rsidRDefault="008B7366">
      <w:pPr>
        <w:keepNext/>
      </w:pPr>
    </w:p>
    <w:p w14:paraId="1067F9E6" w14:textId="77777777" w:rsidR="009A658A" w:rsidRPr="00EF7798" w:rsidRDefault="009A658A" w:rsidP="009A658A">
      <w:pPr>
        <w:rPr>
          <w:lang w:val="en-US"/>
        </w:rPr>
      </w:pPr>
      <w:r w:rsidRPr="00EF7798">
        <w:rPr>
          <w:lang w:val="en-US"/>
        </w:rPr>
        <w:t>Bavarian Nordic A/S</w:t>
      </w:r>
    </w:p>
    <w:p w14:paraId="7FEA9D41" w14:textId="36CF684D" w:rsidR="009A658A" w:rsidRPr="00EF7798" w:rsidRDefault="009A658A" w:rsidP="009A658A">
      <w:pPr>
        <w:rPr>
          <w:lang w:val="en-US"/>
        </w:rPr>
      </w:pPr>
      <w:r w:rsidRPr="00EF7798">
        <w:rPr>
          <w:lang w:val="en-US"/>
        </w:rPr>
        <w:t>Philip Heymans Alle 3</w:t>
      </w:r>
    </w:p>
    <w:p w14:paraId="669FC95C" w14:textId="4DE133AE" w:rsidR="009A658A" w:rsidRPr="00EF7798" w:rsidRDefault="009A658A" w:rsidP="009A658A">
      <w:r w:rsidRPr="00EF7798">
        <w:t xml:space="preserve">DK-2900 </w:t>
      </w:r>
      <w:proofErr w:type="spellStart"/>
      <w:r w:rsidRPr="00EF7798">
        <w:t>Hellerup</w:t>
      </w:r>
      <w:proofErr w:type="spellEnd"/>
    </w:p>
    <w:p w14:paraId="1AFCCD47" w14:textId="77777777" w:rsidR="009A658A" w:rsidRPr="00EF7798" w:rsidRDefault="009A658A" w:rsidP="009A658A">
      <w:r w:rsidRPr="00EF7798">
        <w:t>Dänemark</w:t>
      </w:r>
    </w:p>
    <w:p w14:paraId="16E55620" w14:textId="77777777" w:rsidR="008B7366" w:rsidRDefault="008B7366"/>
    <w:p w14:paraId="7725D048" w14:textId="77777777" w:rsidR="008B7366" w:rsidRDefault="008B7366"/>
    <w:p w14:paraId="00B43F04" w14:textId="77777777" w:rsidR="008B7366" w:rsidRDefault="009866CA">
      <w:pPr>
        <w:pStyle w:val="Heading1LAB"/>
      </w:pPr>
      <w:r>
        <w:t>12.</w:t>
      </w:r>
      <w:r>
        <w:tab/>
        <w:t>ZULASSUNGSNUMMER(N)</w:t>
      </w:r>
    </w:p>
    <w:p w14:paraId="1DE21C73" w14:textId="77777777" w:rsidR="008B7366" w:rsidRDefault="008B7366">
      <w:pPr>
        <w:keepNext/>
      </w:pPr>
    </w:p>
    <w:p w14:paraId="066A30C3" w14:textId="77777777" w:rsidR="008B7366" w:rsidRDefault="009866CA">
      <w:r>
        <w:t>EU/1/20/1423/001</w:t>
      </w:r>
    </w:p>
    <w:p w14:paraId="32DD64AC" w14:textId="77777777" w:rsidR="008B7366" w:rsidRDefault="008B7366"/>
    <w:p w14:paraId="726BE2AD" w14:textId="77777777" w:rsidR="008B7366" w:rsidRDefault="008B7366"/>
    <w:p w14:paraId="2FE3F448" w14:textId="77777777" w:rsidR="008B7366" w:rsidRDefault="009866CA">
      <w:pPr>
        <w:pStyle w:val="Heading1LAB"/>
      </w:pPr>
      <w:r>
        <w:t>13.</w:t>
      </w:r>
      <w:r>
        <w:tab/>
        <w:t>CHARGENBEZEICHNUNG</w:t>
      </w:r>
    </w:p>
    <w:p w14:paraId="571F3FE7" w14:textId="77777777" w:rsidR="008B7366" w:rsidRDefault="008B7366">
      <w:pPr>
        <w:keepNext/>
      </w:pPr>
    </w:p>
    <w:p w14:paraId="64E36146" w14:textId="38E45FE6" w:rsidR="008B7366" w:rsidRDefault="0086491B">
      <w:proofErr w:type="spellStart"/>
      <w:r>
        <w:t>Ch</w:t>
      </w:r>
      <w:proofErr w:type="spellEnd"/>
      <w:r>
        <w:t>.-B.</w:t>
      </w:r>
    </w:p>
    <w:p w14:paraId="0217AAE7" w14:textId="77777777" w:rsidR="008B7366" w:rsidRDefault="008B7366"/>
    <w:p w14:paraId="610405AE" w14:textId="77777777" w:rsidR="008B7366" w:rsidRDefault="008B7366"/>
    <w:p w14:paraId="725AD308" w14:textId="77777777" w:rsidR="008B7366" w:rsidRDefault="009866CA">
      <w:pPr>
        <w:pStyle w:val="Heading1LAB"/>
      </w:pPr>
      <w:r>
        <w:t>14.</w:t>
      </w:r>
      <w:r>
        <w:tab/>
        <w:t>VERKAUFSABGRENZUNG</w:t>
      </w:r>
    </w:p>
    <w:p w14:paraId="215EBD30" w14:textId="77777777" w:rsidR="008B7366" w:rsidRDefault="008B7366">
      <w:pPr>
        <w:keepNext/>
      </w:pPr>
    </w:p>
    <w:p w14:paraId="110FAEF0" w14:textId="77777777" w:rsidR="008B7366" w:rsidRDefault="008B7366"/>
    <w:p w14:paraId="21B6D9C6" w14:textId="77777777" w:rsidR="008B7366" w:rsidRDefault="009866CA">
      <w:pPr>
        <w:pStyle w:val="Heading1LAB"/>
      </w:pPr>
      <w:r>
        <w:t>15.</w:t>
      </w:r>
      <w:r>
        <w:tab/>
        <w:t>HINWEISE FÜR DEN GEBRAUCH</w:t>
      </w:r>
    </w:p>
    <w:p w14:paraId="7ECD3753" w14:textId="77777777" w:rsidR="008B7366" w:rsidRDefault="008B7366">
      <w:pPr>
        <w:keepNext/>
      </w:pPr>
    </w:p>
    <w:p w14:paraId="52F59C57" w14:textId="77777777" w:rsidR="008B7366" w:rsidRDefault="008B7366"/>
    <w:p w14:paraId="337B9969" w14:textId="77777777" w:rsidR="008B7366" w:rsidRDefault="009866CA">
      <w:pPr>
        <w:pStyle w:val="Heading1LAB"/>
      </w:pPr>
      <w:r>
        <w:t>16.</w:t>
      </w:r>
      <w:r>
        <w:tab/>
        <w:t>ANGABEN IN BLINDENSCHRIFT</w:t>
      </w:r>
    </w:p>
    <w:p w14:paraId="27B928E3" w14:textId="77777777" w:rsidR="008B7366" w:rsidRDefault="008B7366">
      <w:pPr>
        <w:keepNext/>
      </w:pPr>
    </w:p>
    <w:p w14:paraId="05625AD8" w14:textId="77777777" w:rsidR="008B7366" w:rsidRDefault="009866CA">
      <w:proofErr w:type="spellStart"/>
      <w:r>
        <w:t>Vaxchora</w:t>
      </w:r>
      <w:proofErr w:type="spellEnd"/>
    </w:p>
    <w:p w14:paraId="2943C3CC" w14:textId="77777777" w:rsidR="008B7366" w:rsidRDefault="008B7366"/>
    <w:p w14:paraId="27BB2CD9" w14:textId="77777777" w:rsidR="008B7366" w:rsidRDefault="008B7366"/>
    <w:p w14:paraId="52B43C19" w14:textId="77777777" w:rsidR="008B7366" w:rsidRDefault="009866CA">
      <w:pPr>
        <w:pStyle w:val="Heading1LAB"/>
      </w:pPr>
      <w:r>
        <w:t>17.</w:t>
      </w:r>
      <w:r>
        <w:tab/>
        <w:t>INDIVIDUELLES ERKENNUNGSMERKMAL – 2D-BARCODE</w:t>
      </w:r>
    </w:p>
    <w:p w14:paraId="67727EEB" w14:textId="77777777" w:rsidR="008B7366" w:rsidRDefault="008B7366">
      <w:pPr>
        <w:keepNext/>
      </w:pPr>
    </w:p>
    <w:p w14:paraId="2E7BF688" w14:textId="77777777" w:rsidR="008B7366" w:rsidRDefault="009866CA">
      <w:r w:rsidRPr="000116BF">
        <w:rPr>
          <w:highlight w:val="lightGray"/>
        </w:rPr>
        <w:t>2D-Barcode mit individuellem Erkennungsmerkmal.</w:t>
      </w:r>
    </w:p>
    <w:p w14:paraId="64AD8E3B" w14:textId="77777777" w:rsidR="008B7366" w:rsidRDefault="008B7366"/>
    <w:p w14:paraId="71364A91" w14:textId="77777777" w:rsidR="008B7366" w:rsidRDefault="008B7366"/>
    <w:p w14:paraId="4AD79469" w14:textId="4181ECB6" w:rsidR="008B7366" w:rsidRDefault="009866CA">
      <w:pPr>
        <w:pStyle w:val="Heading1LAB"/>
      </w:pPr>
      <w:r>
        <w:lastRenderedPageBreak/>
        <w:t>18.</w:t>
      </w:r>
      <w:r>
        <w:tab/>
        <w:t>INDIVIDUELLES ERKENNUNGSMERKMAL</w:t>
      </w:r>
      <w:r w:rsidR="00D43C3B">
        <w:t xml:space="preserve"> </w:t>
      </w:r>
      <w:r>
        <w:t>– VOM MENSCHEN LESBARES FORMAT</w:t>
      </w:r>
    </w:p>
    <w:p w14:paraId="4B65642C" w14:textId="77777777" w:rsidR="008B7366" w:rsidRDefault="008B7366">
      <w:pPr>
        <w:keepNext/>
      </w:pPr>
    </w:p>
    <w:p w14:paraId="0BC0D8A2" w14:textId="2C3FC58F" w:rsidR="008B7366" w:rsidRDefault="009866CA">
      <w:pPr>
        <w:keepNext/>
      </w:pPr>
      <w:r>
        <w:t>PC</w:t>
      </w:r>
    </w:p>
    <w:p w14:paraId="004380DE" w14:textId="258AD1F9" w:rsidR="008B7366" w:rsidRDefault="009866CA">
      <w:pPr>
        <w:keepNext/>
      </w:pPr>
      <w:r>
        <w:t>SN</w:t>
      </w:r>
    </w:p>
    <w:p w14:paraId="38B37919" w14:textId="4F94416D" w:rsidR="008B7366" w:rsidRDefault="009866CA">
      <w:r>
        <w:t>NN</w:t>
      </w:r>
    </w:p>
    <w:p w14:paraId="5839939E" w14:textId="77777777" w:rsidR="008B7366" w:rsidRDefault="009866CA">
      <w:pPr>
        <w:pStyle w:val="Heading1LAB"/>
      </w:pPr>
      <w:r>
        <w:br w:type="page"/>
      </w:r>
      <w:r>
        <w:lastRenderedPageBreak/>
        <w:t>MINDESTANGABEN AUF KLEINEN BEHÄLTNISSEN</w:t>
      </w:r>
    </w:p>
    <w:p w14:paraId="33E0ECF7" w14:textId="77777777" w:rsidR="008B7366" w:rsidRDefault="008B7366">
      <w:pPr>
        <w:pStyle w:val="Heading1LAB"/>
      </w:pPr>
    </w:p>
    <w:p w14:paraId="56EF8E08" w14:textId="77777777" w:rsidR="008B7366" w:rsidRDefault="009866CA">
      <w:pPr>
        <w:pStyle w:val="Heading1LAB"/>
      </w:pPr>
      <w:r>
        <w:t>Beutel</w:t>
      </w:r>
    </w:p>
    <w:p w14:paraId="3F289BA1" w14:textId="77777777" w:rsidR="008B7366" w:rsidRDefault="008B7366"/>
    <w:p w14:paraId="13E73759" w14:textId="77777777" w:rsidR="008B7366" w:rsidRDefault="008B7366"/>
    <w:p w14:paraId="28430C3A" w14:textId="77777777" w:rsidR="008B7366" w:rsidRDefault="009866CA">
      <w:pPr>
        <w:pStyle w:val="Heading1LAB"/>
      </w:pPr>
      <w:r>
        <w:t>1.</w:t>
      </w:r>
      <w:r>
        <w:tab/>
        <w:t>BEZEICHNUNG DES ARZNEIMITTELS SOWIE ART(EN) DER ANWENDUNG</w:t>
      </w:r>
    </w:p>
    <w:p w14:paraId="2F38DE12" w14:textId="77777777" w:rsidR="008B7366" w:rsidRDefault="008B7366">
      <w:pPr>
        <w:keepNext/>
      </w:pPr>
    </w:p>
    <w:p w14:paraId="33AC1994" w14:textId="77777777" w:rsidR="008B7366" w:rsidRDefault="009866CA">
      <w:proofErr w:type="spellStart"/>
      <w:r>
        <w:t>Vaxchora</w:t>
      </w:r>
      <w:proofErr w:type="spellEnd"/>
      <w:r>
        <w:t xml:space="preserve"> Wirkstoff</w:t>
      </w:r>
    </w:p>
    <w:p w14:paraId="6C5E0FB7" w14:textId="77777777" w:rsidR="008B7366" w:rsidRDefault="009866CA">
      <w:r>
        <w:t>Pulver zur Herstellung einer Suspension zum Einnehmen</w:t>
      </w:r>
    </w:p>
    <w:p w14:paraId="6F8DCE39" w14:textId="77777777" w:rsidR="008B7366" w:rsidRDefault="009866CA">
      <w:r>
        <w:t>Cholera-Impfstamm</w:t>
      </w:r>
    </w:p>
    <w:p w14:paraId="2E2D4C88" w14:textId="77777777" w:rsidR="008B7366" w:rsidRDefault="009866CA">
      <w:r>
        <w:t>Zum Einnehmen</w:t>
      </w:r>
    </w:p>
    <w:p w14:paraId="1ADDBF92" w14:textId="77777777" w:rsidR="008B7366" w:rsidRDefault="008B7366"/>
    <w:p w14:paraId="480B066D" w14:textId="77777777" w:rsidR="008B7366" w:rsidRDefault="008B7366"/>
    <w:p w14:paraId="6A025AE3" w14:textId="77777777" w:rsidR="008B7366" w:rsidRDefault="009866CA">
      <w:pPr>
        <w:pStyle w:val="Heading1LAB"/>
      </w:pPr>
      <w:r>
        <w:t>2.</w:t>
      </w:r>
      <w:r>
        <w:tab/>
        <w:t>HINWEISE ZUR ANWENDUNG</w:t>
      </w:r>
    </w:p>
    <w:p w14:paraId="7765A7C1" w14:textId="77777777" w:rsidR="008B7366" w:rsidRDefault="008B7366">
      <w:pPr>
        <w:keepNext/>
      </w:pPr>
    </w:p>
    <w:p w14:paraId="11E18988" w14:textId="7D0D3786" w:rsidR="008B7366" w:rsidRDefault="009866CA">
      <w:r>
        <w:t xml:space="preserve">Zur Anwendung mit </w:t>
      </w:r>
      <w:proofErr w:type="spellStart"/>
      <w:r w:rsidR="001A7C3C">
        <w:t>Vaxchora</w:t>
      </w:r>
      <w:proofErr w:type="spellEnd"/>
      <w:r w:rsidR="001A7C3C">
        <w:t>-Puffer</w:t>
      </w:r>
      <w:r>
        <w:t>, d</w:t>
      </w:r>
      <w:r w:rsidR="00630CC2">
        <w:t>er</w:t>
      </w:r>
      <w:r>
        <w:t xml:space="preserve"> zuvor mit </w:t>
      </w:r>
      <w:r w:rsidR="00BA6242">
        <w:t xml:space="preserve">Tafel- oder Mineralwasser </w:t>
      </w:r>
      <w:r>
        <w:t>aufgelöst wurde.</w:t>
      </w:r>
    </w:p>
    <w:p w14:paraId="1465E7F9" w14:textId="77777777" w:rsidR="008B7366" w:rsidRDefault="009866CA">
      <w:r>
        <w:t>Packungsbeilage beachten.</w:t>
      </w:r>
    </w:p>
    <w:p w14:paraId="2480EC76" w14:textId="77777777" w:rsidR="008B7366" w:rsidRDefault="008B7366"/>
    <w:p w14:paraId="00FC3CC5" w14:textId="77777777" w:rsidR="008B7366" w:rsidRDefault="008B7366"/>
    <w:p w14:paraId="67B3F322" w14:textId="77777777" w:rsidR="008B7366" w:rsidRDefault="009866CA">
      <w:pPr>
        <w:pStyle w:val="Heading1LAB"/>
      </w:pPr>
      <w:r>
        <w:t>3.</w:t>
      </w:r>
      <w:r>
        <w:tab/>
        <w:t>VERFALLDATUM</w:t>
      </w:r>
    </w:p>
    <w:p w14:paraId="7D834793" w14:textId="77777777" w:rsidR="008B7366" w:rsidRDefault="008B7366">
      <w:pPr>
        <w:keepNext/>
      </w:pPr>
    </w:p>
    <w:p w14:paraId="305DD11B" w14:textId="77777777" w:rsidR="008B7366" w:rsidRDefault="009866CA">
      <w:r>
        <w:t>EXP</w:t>
      </w:r>
    </w:p>
    <w:p w14:paraId="1A2BD8A5" w14:textId="77777777" w:rsidR="008B7366" w:rsidRDefault="008B7366"/>
    <w:p w14:paraId="1F22F1A2" w14:textId="77777777" w:rsidR="008B7366" w:rsidRDefault="008B7366"/>
    <w:p w14:paraId="1A9C9677" w14:textId="77777777" w:rsidR="008B7366" w:rsidRDefault="009866CA">
      <w:pPr>
        <w:pStyle w:val="Heading1LAB"/>
      </w:pPr>
      <w:r>
        <w:t>4.</w:t>
      </w:r>
      <w:r>
        <w:tab/>
        <w:t>CHARGENBEZEICHNUNG</w:t>
      </w:r>
    </w:p>
    <w:p w14:paraId="04451911" w14:textId="77777777" w:rsidR="008B7366" w:rsidRDefault="008B7366">
      <w:pPr>
        <w:keepNext/>
      </w:pPr>
    </w:p>
    <w:p w14:paraId="69DF5FBD" w14:textId="77777777" w:rsidR="008B7366" w:rsidRDefault="009866CA">
      <w:r>
        <w:t>Lot</w:t>
      </w:r>
    </w:p>
    <w:p w14:paraId="3968C933" w14:textId="77777777" w:rsidR="008B7366" w:rsidRDefault="008B7366"/>
    <w:p w14:paraId="03FB86D1" w14:textId="77777777" w:rsidR="008B7366" w:rsidRDefault="008B7366"/>
    <w:p w14:paraId="636FB8DF" w14:textId="77777777" w:rsidR="008B7366" w:rsidRDefault="009866CA">
      <w:pPr>
        <w:pStyle w:val="Heading1LAB"/>
      </w:pPr>
      <w:r>
        <w:t>5.</w:t>
      </w:r>
      <w:r>
        <w:tab/>
        <w:t>INHALT NACH GEWICHT, VOLUMEN ODER EINHEITEN</w:t>
      </w:r>
    </w:p>
    <w:p w14:paraId="50141EA6" w14:textId="77777777" w:rsidR="008B7366" w:rsidRDefault="008B7366">
      <w:pPr>
        <w:keepNext/>
      </w:pPr>
    </w:p>
    <w:p w14:paraId="2EE8A5C4" w14:textId="77777777" w:rsidR="008B7366" w:rsidRDefault="009866CA">
      <w:r>
        <w:t>2,0 g</w:t>
      </w:r>
    </w:p>
    <w:p w14:paraId="2E2C136A" w14:textId="77777777" w:rsidR="008B7366" w:rsidRDefault="008B7366"/>
    <w:p w14:paraId="6BF1A0B9" w14:textId="77777777" w:rsidR="008B7366" w:rsidRDefault="008B7366"/>
    <w:p w14:paraId="2FAFC388" w14:textId="77777777" w:rsidR="008B7366" w:rsidRDefault="009866CA">
      <w:pPr>
        <w:pStyle w:val="Heading1LAB"/>
      </w:pPr>
      <w:r>
        <w:t>6.</w:t>
      </w:r>
      <w:r>
        <w:tab/>
        <w:t>WEITERE ANGABEN</w:t>
      </w:r>
    </w:p>
    <w:p w14:paraId="04ED08A9" w14:textId="77777777" w:rsidR="008B7366" w:rsidRDefault="008B7366">
      <w:pPr>
        <w:keepNext/>
      </w:pPr>
    </w:p>
    <w:p w14:paraId="1471DD1E" w14:textId="77777777" w:rsidR="008B7366" w:rsidRDefault="009866CA">
      <w:r>
        <w:t>2</w:t>
      </w:r>
    </w:p>
    <w:p w14:paraId="6F3C7155" w14:textId="77777777" w:rsidR="008B7366" w:rsidRDefault="008B7366"/>
    <w:p w14:paraId="7CD4B4E0" w14:textId="77777777" w:rsidR="008B7366" w:rsidRPr="00BC2476" w:rsidRDefault="009866CA">
      <w:pPr>
        <w:rPr>
          <w:rFonts w:eastAsia="Times New Roman"/>
          <w:szCs w:val="20"/>
          <w:shd w:val="pct15" w:color="auto" w:fill="auto"/>
          <w:lang w:eastAsia="en-US"/>
        </w:rPr>
      </w:pPr>
      <w:r w:rsidRPr="00BC2476">
        <w:rPr>
          <w:rFonts w:eastAsia="Times New Roman"/>
          <w:szCs w:val="20"/>
          <w:shd w:val="pct15" w:color="auto" w:fill="auto"/>
          <w:lang w:eastAsia="en-US"/>
        </w:rPr>
        <w:t>Anweisungen siehe Rückseite.</w:t>
      </w:r>
    </w:p>
    <w:p w14:paraId="072BDDE7" w14:textId="77777777" w:rsidR="008B7366" w:rsidRDefault="008B7366"/>
    <w:p w14:paraId="38ECA961" w14:textId="7F1805EA" w:rsidR="008B7366" w:rsidRDefault="009866CA">
      <w:r>
        <w:t>Beutel</w:t>
      </w:r>
      <w:r w:rsidR="00083EB8">
        <w:t> </w:t>
      </w:r>
      <w:r>
        <w:t>2 von 2. Zuletzt verwenden.</w:t>
      </w:r>
    </w:p>
    <w:p w14:paraId="6A2ACC7F" w14:textId="77777777" w:rsidR="008B7366" w:rsidRDefault="008B7366"/>
    <w:p w14:paraId="7C172C9C" w14:textId="77777777" w:rsidR="009A658A" w:rsidRDefault="009A658A" w:rsidP="009A658A">
      <w:proofErr w:type="spellStart"/>
      <w:r>
        <w:t>Bavarian</w:t>
      </w:r>
      <w:proofErr w:type="spellEnd"/>
      <w:r>
        <w:t xml:space="preserve"> Nordic A/S</w:t>
      </w:r>
    </w:p>
    <w:p w14:paraId="7F074432" w14:textId="77777777" w:rsidR="00CA24B6" w:rsidRDefault="00CA24B6" w:rsidP="009A658A"/>
    <w:p w14:paraId="5C48D020" w14:textId="77777777" w:rsidR="008B7366" w:rsidRDefault="009866CA">
      <w:r>
        <w:br w:type="page"/>
      </w:r>
    </w:p>
    <w:p w14:paraId="70653FF4" w14:textId="77777777" w:rsidR="008B7366" w:rsidRDefault="009866CA">
      <w:pPr>
        <w:pStyle w:val="HeadingStrLAB"/>
      </w:pPr>
      <w:r>
        <w:lastRenderedPageBreak/>
        <w:t>MINDESTANGABEN AUF KLEINEN BEHÄLTNISSEN</w:t>
      </w:r>
    </w:p>
    <w:p w14:paraId="775355CB" w14:textId="77777777" w:rsidR="008B7366" w:rsidRDefault="008B7366">
      <w:pPr>
        <w:pStyle w:val="HeadingStrLAB"/>
      </w:pPr>
    </w:p>
    <w:p w14:paraId="530F4B26" w14:textId="77777777" w:rsidR="008B7366" w:rsidRDefault="009866CA">
      <w:pPr>
        <w:pStyle w:val="HeadingStrLAB"/>
      </w:pPr>
      <w:r>
        <w:t>Beutel</w:t>
      </w:r>
    </w:p>
    <w:p w14:paraId="0CC2DB22" w14:textId="77777777" w:rsidR="008B7366" w:rsidRDefault="008B7366">
      <w:pPr>
        <w:keepNext/>
      </w:pPr>
    </w:p>
    <w:p w14:paraId="2A5D512A" w14:textId="77777777" w:rsidR="008B7366" w:rsidRDefault="008B7366"/>
    <w:p w14:paraId="58FF795F" w14:textId="77777777" w:rsidR="008B7366" w:rsidRDefault="009866CA">
      <w:pPr>
        <w:pStyle w:val="Heading1LAB"/>
      </w:pPr>
      <w:r>
        <w:t>1.</w:t>
      </w:r>
      <w:r>
        <w:tab/>
        <w:t>BEZEICHNUNG DES ARZNEIMITTELS SOWIE ART(EN) DER ANWENDUNG</w:t>
      </w:r>
    </w:p>
    <w:p w14:paraId="5BE0056E" w14:textId="77777777" w:rsidR="008B7366" w:rsidRDefault="008B7366">
      <w:pPr>
        <w:keepNext/>
      </w:pPr>
    </w:p>
    <w:p w14:paraId="64CC3714" w14:textId="19DDB555" w:rsidR="000A765A" w:rsidRDefault="000A765A">
      <w:proofErr w:type="spellStart"/>
      <w:r>
        <w:t>Vaxchora</w:t>
      </w:r>
      <w:proofErr w:type="spellEnd"/>
      <w:r>
        <w:t>-Puffer</w:t>
      </w:r>
    </w:p>
    <w:p w14:paraId="66920202" w14:textId="77777777" w:rsidR="0021049D" w:rsidRDefault="0021049D">
      <w:r>
        <w:t>Brausepulver</w:t>
      </w:r>
    </w:p>
    <w:p w14:paraId="3C3D3796" w14:textId="5C819BAD" w:rsidR="008B7366" w:rsidRDefault="009866CA">
      <w:r>
        <w:t>Natriumhydrogencarbonat</w:t>
      </w:r>
    </w:p>
    <w:p w14:paraId="138A3B2E" w14:textId="77777777" w:rsidR="008B7366" w:rsidRDefault="009866CA">
      <w:r>
        <w:t>Zum Einnehmen</w:t>
      </w:r>
    </w:p>
    <w:p w14:paraId="390D0457" w14:textId="77777777" w:rsidR="008B7366" w:rsidRDefault="008B7366"/>
    <w:p w14:paraId="436C5306" w14:textId="77777777" w:rsidR="008B7366" w:rsidRDefault="008B7366"/>
    <w:p w14:paraId="2DB9E9B8" w14:textId="77777777" w:rsidR="008B7366" w:rsidRDefault="009866CA">
      <w:pPr>
        <w:pStyle w:val="Heading1LAB"/>
      </w:pPr>
      <w:r>
        <w:t>2.</w:t>
      </w:r>
      <w:r>
        <w:tab/>
        <w:t>HINWEISE ZUR ANWENDUNG</w:t>
      </w:r>
    </w:p>
    <w:p w14:paraId="5047F7D5" w14:textId="77777777" w:rsidR="008B7366" w:rsidRDefault="008B7366">
      <w:pPr>
        <w:keepNext/>
      </w:pPr>
    </w:p>
    <w:p w14:paraId="73FB84DC" w14:textId="5C6C0E5D" w:rsidR="008B7366" w:rsidRDefault="009866CA">
      <w:r>
        <w:t xml:space="preserve">Zum Mischen mit </w:t>
      </w:r>
      <w:r w:rsidR="00127FE9">
        <w:t xml:space="preserve">Tafel- oder Mineralwasser </w:t>
      </w:r>
      <w:r>
        <w:t xml:space="preserve">und dem </w:t>
      </w:r>
      <w:proofErr w:type="spellStart"/>
      <w:r>
        <w:t>Vaxchora</w:t>
      </w:r>
      <w:proofErr w:type="spellEnd"/>
      <w:r>
        <w:t xml:space="preserve"> Wirkstoff.</w:t>
      </w:r>
    </w:p>
    <w:p w14:paraId="1324EE00" w14:textId="77777777" w:rsidR="008B7366" w:rsidRDefault="009866CA">
      <w:r>
        <w:t>Packungsbeilage beachten</w:t>
      </w:r>
      <w:r w:rsidR="000D42C8">
        <w:t xml:space="preserve">, insbesondere für die Anwendung bei Kindern im Alter von 2 bis &lt; 6 Jahren, da für diese Altersgruppe andere </w:t>
      </w:r>
      <w:r w:rsidR="00132C88">
        <w:t>Zu</w:t>
      </w:r>
      <w:r w:rsidR="000D42C8">
        <w:t>bereitungsschritte notwendig sind.</w:t>
      </w:r>
    </w:p>
    <w:p w14:paraId="0ACB3611" w14:textId="77777777" w:rsidR="008B7366" w:rsidRDefault="008B7366"/>
    <w:p w14:paraId="30E5E944" w14:textId="77777777" w:rsidR="008B7366" w:rsidRDefault="008B7366"/>
    <w:p w14:paraId="7F32AD4A" w14:textId="77777777" w:rsidR="008B7366" w:rsidRDefault="009866CA">
      <w:pPr>
        <w:pStyle w:val="Heading1LAB"/>
      </w:pPr>
      <w:r>
        <w:t>3.</w:t>
      </w:r>
      <w:r>
        <w:tab/>
        <w:t>VERFALLDATUM</w:t>
      </w:r>
    </w:p>
    <w:p w14:paraId="562EFD0C" w14:textId="77777777" w:rsidR="008B7366" w:rsidRDefault="008B7366">
      <w:pPr>
        <w:keepNext/>
      </w:pPr>
    </w:p>
    <w:p w14:paraId="63AE974A" w14:textId="77777777" w:rsidR="008B7366" w:rsidRDefault="009866CA">
      <w:r>
        <w:t>EXP</w:t>
      </w:r>
    </w:p>
    <w:p w14:paraId="3BEEDB3C" w14:textId="77777777" w:rsidR="008B7366" w:rsidRDefault="008B7366"/>
    <w:p w14:paraId="555D4F1C" w14:textId="77777777" w:rsidR="008B7366" w:rsidRDefault="008B7366"/>
    <w:p w14:paraId="77B0B57E" w14:textId="77777777" w:rsidR="008B7366" w:rsidRDefault="009866CA">
      <w:pPr>
        <w:pStyle w:val="Heading1LAB"/>
      </w:pPr>
      <w:r>
        <w:t>4.</w:t>
      </w:r>
      <w:r>
        <w:tab/>
        <w:t>CHARGENBEZEICHNUNG</w:t>
      </w:r>
    </w:p>
    <w:p w14:paraId="512F982F" w14:textId="77777777" w:rsidR="008B7366" w:rsidRDefault="008B7366">
      <w:pPr>
        <w:keepNext/>
      </w:pPr>
    </w:p>
    <w:p w14:paraId="29EE3531" w14:textId="77777777" w:rsidR="008B7366" w:rsidRDefault="009866CA">
      <w:r>
        <w:t>Lot</w:t>
      </w:r>
    </w:p>
    <w:p w14:paraId="327B64C7" w14:textId="77777777" w:rsidR="008B7366" w:rsidRDefault="008B7366"/>
    <w:p w14:paraId="42D6072D" w14:textId="77777777" w:rsidR="008B7366" w:rsidRDefault="008B7366"/>
    <w:p w14:paraId="27DE1DDE" w14:textId="77777777" w:rsidR="008B7366" w:rsidRDefault="009866CA">
      <w:pPr>
        <w:pStyle w:val="Heading1LAB"/>
      </w:pPr>
      <w:r>
        <w:t>5.</w:t>
      </w:r>
      <w:r>
        <w:tab/>
        <w:t>INHALT NACH GEWICHT, VOLUMEN ODER EINHEITEN</w:t>
      </w:r>
    </w:p>
    <w:p w14:paraId="0F2CA34B" w14:textId="77777777" w:rsidR="008B7366" w:rsidRDefault="008B7366">
      <w:pPr>
        <w:keepNext/>
      </w:pPr>
    </w:p>
    <w:p w14:paraId="3E813F53" w14:textId="77777777" w:rsidR="008B7366" w:rsidRDefault="009866CA">
      <w:r>
        <w:t>4,5 g</w:t>
      </w:r>
    </w:p>
    <w:p w14:paraId="7F672D23" w14:textId="77777777" w:rsidR="008B7366" w:rsidRDefault="008B7366"/>
    <w:p w14:paraId="343B9DB0" w14:textId="77777777" w:rsidR="008B7366" w:rsidRDefault="008B7366"/>
    <w:p w14:paraId="6E1D3A15" w14:textId="77777777" w:rsidR="008B7366" w:rsidRDefault="009866CA">
      <w:pPr>
        <w:pStyle w:val="Heading1LAB"/>
      </w:pPr>
      <w:r>
        <w:t>6.</w:t>
      </w:r>
      <w:r>
        <w:tab/>
        <w:t>WEITERE ANGABEN</w:t>
      </w:r>
    </w:p>
    <w:p w14:paraId="724A2CF7" w14:textId="77777777" w:rsidR="008B7366" w:rsidRDefault="008B7366">
      <w:pPr>
        <w:keepNext/>
      </w:pPr>
    </w:p>
    <w:p w14:paraId="22ABEAF4" w14:textId="77777777" w:rsidR="008B7366" w:rsidRDefault="009866CA">
      <w:r>
        <w:t>1</w:t>
      </w:r>
    </w:p>
    <w:p w14:paraId="386169C8" w14:textId="77777777" w:rsidR="008B7366" w:rsidRDefault="008B7366"/>
    <w:p w14:paraId="0C240104" w14:textId="77777777" w:rsidR="008B7366" w:rsidRPr="00BC2476" w:rsidRDefault="009866CA">
      <w:pPr>
        <w:rPr>
          <w:rFonts w:eastAsia="Times New Roman"/>
          <w:szCs w:val="20"/>
          <w:shd w:val="pct15" w:color="auto" w:fill="auto"/>
          <w:lang w:eastAsia="en-US"/>
        </w:rPr>
      </w:pPr>
      <w:r w:rsidRPr="00BC2476">
        <w:rPr>
          <w:rFonts w:eastAsia="Times New Roman"/>
          <w:szCs w:val="20"/>
          <w:shd w:val="pct15" w:color="auto" w:fill="auto"/>
          <w:lang w:eastAsia="en-US"/>
        </w:rPr>
        <w:t>Anweisungen siehe Rückseite.</w:t>
      </w:r>
    </w:p>
    <w:p w14:paraId="5C47A462" w14:textId="77777777" w:rsidR="008B7366" w:rsidRPr="00BC2476" w:rsidRDefault="008B7366">
      <w:pPr>
        <w:rPr>
          <w:rFonts w:eastAsia="Times New Roman"/>
          <w:szCs w:val="20"/>
          <w:shd w:val="pct15" w:color="auto" w:fill="auto"/>
          <w:lang w:eastAsia="en-US"/>
        </w:rPr>
      </w:pPr>
    </w:p>
    <w:p w14:paraId="437A2AB4" w14:textId="733E23B2" w:rsidR="008B7366" w:rsidRDefault="009866CA">
      <w:r>
        <w:t>Beutel</w:t>
      </w:r>
      <w:r w:rsidR="00083EB8">
        <w:t> </w:t>
      </w:r>
      <w:r>
        <w:t>1 von 2. Zuerst verwenden.</w:t>
      </w:r>
    </w:p>
    <w:p w14:paraId="40C512D5" w14:textId="77777777" w:rsidR="008B7366" w:rsidRDefault="008B7366"/>
    <w:p w14:paraId="193F1FEE" w14:textId="77777777" w:rsidR="009A658A" w:rsidRDefault="009A658A" w:rsidP="009A658A"/>
    <w:p w14:paraId="36B54C5A" w14:textId="77777777" w:rsidR="009A658A" w:rsidRDefault="009A658A" w:rsidP="009A658A">
      <w:proofErr w:type="spellStart"/>
      <w:r>
        <w:t>Bavarian</w:t>
      </w:r>
      <w:proofErr w:type="spellEnd"/>
      <w:r>
        <w:t xml:space="preserve"> Nordic A/S</w:t>
      </w:r>
    </w:p>
    <w:p w14:paraId="6CB3B743" w14:textId="77777777" w:rsidR="008B7366" w:rsidRDefault="008B7366"/>
    <w:p w14:paraId="458A750F" w14:textId="77777777" w:rsidR="008B7366" w:rsidRDefault="008B7366"/>
    <w:p w14:paraId="6BB993B1" w14:textId="77777777" w:rsidR="008B7366" w:rsidRDefault="009866CA">
      <w:r>
        <w:br w:type="page"/>
      </w:r>
    </w:p>
    <w:p w14:paraId="4963E5EF" w14:textId="77777777" w:rsidR="008B7366" w:rsidRDefault="008B7366"/>
    <w:p w14:paraId="1878ECC0" w14:textId="77777777" w:rsidR="008B7366" w:rsidRDefault="008B7366"/>
    <w:p w14:paraId="721F3CF1" w14:textId="77777777" w:rsidR="008B7366" w:rsidRDefault="008B7366"/>
    <w:p w14:paraId="3371D66C" w14:textId="77777777" w:rsidR="008B7366" w:rsidRDefault="008B7366"/>
    <w:p w14:paraId="313BC43A" w14:textId="77777777" w:rsidR="008B7366" w:rsidRDefault="008B7366"/>
    <w:p w14:paraId="5CE3BA7D" w14:textId="77777777" w:rsidR="008B7366" w:rsidRDefault="008B7366"/>
    <w:p w14:paraId="277629F3" w14:textId="77777777" w:rsidR="008B7366" w:rsidRDefault="008B7366"/>
    <w:p w14:paraId="7B340F43" w14:textId="77777777" w:rsidR="008B7366" w:rsidRDefault="008B7366"/>
    <w:p w14:paraId="173A8231" w14:textId="77777777" w:rsidR="008B7366" w:rsidRDefault="008B7366"/>
    <w:p w14:paraId="3AA1473A" w14:textId="77777777" w:rsidR="008B7366" w:rsidRDefault="008B7366"/>
    <w:p w14:paraId="5836431A" w14:textId="77777777" w:rsidR="008B7366" w:rsidRDefault="008B7366"/>
    <w:p w14:paraId="34B91DC7" w14:textId="77777777" w:rsidR="008B7366" w:rsidRDefault="008B7366"/>
    <w:p w14:paraId="3CB83342" w14:textId="77777777" w:rsidR="008B7366" w:rsidRDefault="008B7366"/>
    <w:p w14:paraId="01934E43" w14:textId="77777777" w:rsidR="008B7366" w:rsidRDefault="008B7366"/>
    <w:p w14:paraId="0B2E074E" w14:textId="77777777" w:rsidR="008B7366" w:rsidRDefault="008B7366"/>
    <w:p w14:paraId="7FDB0031" w14:textId="77777777" w:rsidR="008B7366" w:rsidRDefault="008B7366"/>
    <w:p w14:paraId="0FA360BC" w14:textId="77777777" w:rsidR="008B7366" w:rsidRDefault="008B7366"/>
    <w:p w14:paraId="09C2D102" w14:textId="77777777" w:rsidR="008B7366" w:rsidRDefault="008B7366"/>
    <w:p w14:paraId="11D902DC" w14:textId="77777777" w:rsidR="008B7366" w:rsidRDefault="008B7366"/>
    <w:p w14:paraId="4D4F7030" w14:textId="77777777" w:rsidR="008B7366" w:rsidRDefault="008B7366"/>
    <w:p w14:paraId="7B8FB91A" w14:textId="77777777" w:rsidR="008B7366" w:rsidRDefault="008B7366"/>
    <w:p w14:paraId="53BD0837" w14:textId="77777777" w:rsidR="008B7366" w:rsidRDefault="008B7366"/>
    <w:p w14:paraId="376EA9BF" w14:textId="77777777" w:rsidR="00227F17" w:rsidRDefault="00227F17"/>
    <w:p w14:paraId="15F103DE" w14:textId="77777777" w:rsidR="008B7366" w:rsidRDefault="009866CA">
      <w:pPr>
        <w:pStyle w:val="TitleA"/>
      </w:pPr>
      <w:r>
        <w:t>B. PACKUNGSBEILAGE</w:t>
      </w:r>
    </w:p>
    <w:p w14:paraId="5A2E25FA" w14:textId="77777777" w:rsidR="008B7366" w:rsidRDefault="009866CA">
      <w:pPr>
        <w:pStyle w:val="Title"/>
      </w:pPr>
      <w:r>
        <w:br w:type="page"/>
      </w:r>
      <w:r>
        <w:lastRenderedPageBreak/>
        <w:t>Gebrauchsinformation: Information für Anwender</w:t>
      </w:r>
    </w:p>
    <w:p w14:paraId="3773C8DA" w14:textId="77777777" w:rsidR="008B7366" w:rsidRDefault="008B7366">
      <w:pPr>
        <w:pStyle w:val="Title"/>
      </w:pPr>
    </w:p>
    <w:p w14:paraId="6FED35A6" w14:textId="77777777" w:rsidR="008B7366" w:rsidRDefault="009866CA">
      <w:pPr>
        <w:pStyle w:val="Title"/>
      </w:pPr>
      <w:proofErr w:type="spellStart"/>
      <w:r>
        <w:t>Vaxchora</w:t>
      </w:r>
      <w:proofErr w:type="spellEnd"/>
      <w:r>
        <w:t xml:space="preserve"> Brausepulver und Pulver zur Herstellung einer Suspension zum Einnehmen</w:t>
      </w:r>
    </w:p>
    <w:p w14:paraId="7A301511" w14:textId="77777777" w:rsidR="008B7366" w:rsidRDefault="009866CA">
      <w:pPr>
        <w:pStyle w:val="Title"/>
      </w:pPr>
      <w:r>
        <w:t>Cholera-Impfstoff (rekombinant, lebend, zum Einnehmen)</w:t>
      </w:r>
    </w:p>
    <w:p w14:paraId="21A51F72" w14:textId="77777777" w:rsidR="008B7366" w:rsidRDefault="008B7366"/>
    <w:p w14:paraId="543EBB3E" w14:textId="77777777" w:rsidR="008B7366" w:rsidRDefault="008B7366"/>
    <w:p w14:paraId="05A20AAD" w14:textId="77777777" w:rsidR="008B7366" w:rsidRDefault="009866CA">
      <w:pPr>
        <w:pStyle w:val="HeadingStrong"/>
      </w:pPr>
      <w:r>
        <w:t>Lesen Sie die gesamte Packungsbeilage sorgfältig durch, bevor Sie mit der Einnahme dieses Impfstoffs beginnen, denn sie enthält wichtige Informationen.</w:t>
      </w:r>
    </w:p>
    <w:p w14:paraId="34803776" w14:textId="77777777" w:rsidR="008B7366" w:rsidRDefault="009866CA">
      <w:pPr>
        <w:pStyle w:val="Bullet-"/>
      </w:pPr>
      <w:r>
        <w:t>Heben Sie die Packungsbeilage auf. Vielleicht möchten Sie diese später nochmals lesen.</w:t>
      </w:r>
    </w:p>
    <w:p w14:paraId="35DC6E94" w14:textId="77777777" w:rsidR="008B7366" w:rsidRDefault="009866CA">
      <w:pPr>
        <w:pStyle w:val="Bullet-"/>
      </w:pPr>
      <w:r>
        <w:t>Wenn Sie weitere Fragen haben, wenden Sie sich an Ihren Arzt, Apotheker oder das medizinische Fachpersonal.</w:t>
      </w:r>
    </w:p>
    <w:p w14:paraId="648AECE5" w14:textId="77777777" w:rsidR="008B7366" w:rsidRDefault="009866CA">
      <w:pPr>
        <w:pStyle w:val="Bullet-"/>
      </w:pPr>
      <w:r>
        <w:t>Dieser Impfstoff wurde Ihnen persönlich verschrieben. Geben Sie ihn nicht an Dritte weiter.</w:t>
      </w:r>
    </w:p>
    <w:p w14:paraId="40AEF1D2" w14:textId="77777777" w:rsidR="008B7366" w:rsidRDefault="009866CA">
      <w:pPr>
        <w:pStyle w:val="Bullet-"/>
      </w:pPr>
      <w:r>
        <w:t>Wenn Sie Nebenwirkungen bemerken, wenden Sie sich an Ihren Arzt, Apotheker oder das medizinische Fachpersonal. Dies gilt auch für Nebenwirkungen, die nicht in dieser Packungsbeilage angegeben sind. Siehe Abschnitt 4.</w:t>
      </w:r>
    </w:p>
    <w:p w14:paraId="127FDCF5" w14:textId="77777777" w:rsidR="008B7366" w:rsidRDefault="008B7366"/>
    <w:p w14:paraId="4E4C6A69" w14:textId="77777777" w:rsidR="008B7366" w:rsidRDefault="009866CA">
      <w:pPr>
        <w:pStyle w:val="HeadingStrong"/>
      </w:pPr>
      <w:r>
        <w:t>Was in dieser Packungsbeilage steht</w:t>
      </w:r>
    </w:p>
    <w:p w14:paraId="649B1BF4" w14:textId="77777777" w:rsidR="008B7366" w:rsidRDefault="008B7366">
      <w:pPr>
        <w:keepNext/>
      </w:pPr>
    </w:p>
    <w:p w14:paraId="2D8C495E" w14:textId="77777777" w:rsidR="008B7366" w:rsidRDefault="009866CA">
      <w:r>
        <w:t>1.</w:t>
      </w:r>
      <w:r>
        <w:tab/>
        <w:t xml:space="preserve">Was ist </w:t>
      </w:r>
      <w:proofErr w:type="spellStart"/>
      <w:r>
        <w:t>Vaxchora</w:t>
      </w:r>
      <w:proofErr w:type="spellEnd"/>
      <w:r>
        <w:t xml:space="preserve"> und wofür wird es angewendet?</w:t>
      </w:r>
    </w:p>
    <w:p w14:paraId="79E759EF" w14:textId="77777777" w:rsidR="008B7366" w:rsidRDefault="009866CA">
      <w:r>
        <w:t>2.</w:t>
      </w:r>
      <w:r>
        <w:tab/>
        <w:t xml:space="preserve">Was sollten Sie vor der Einnahme von </w:t>
      </w:r>
      <w:proofErr w:type="spellStart"/>
      <w:r>
        <w:t>Vaxchora</w:t>
      </w:r>
      <w:proofErr w:type="spellEnd"/>
      <w:r>
        <w:t xml:space="preserve"> beachten?</w:t>
      </w:r>
    </w:p>
    <w:p w14:paraId="3B722E45" w14:textId="77777777" w:rsidR="008B7366" w:rsidRDefault="009866CA">
      <w:r>
        <w:t>3.</w:t>
      </w:r>
      <w:r>
        <w:tab/>
        <w:t xml:space="preserve">Wie ist </w:t>
      </w:r>
      <w:proofErr w:type="spellStart"/>
      <w:r>
        <w:t>Vaxchora</w:t>
      </w:r>
      <w:proofErr w:type="spellEnd"/>
      <w:r>
        <w:t xml:space="preserve"> einzunehmen?</w:t>
      </w:r>
    </w:p>
    <w:p w14:paraId="2665DE11" w14:textId="77777777" w:rsidR="008B7366" w:rsidRDefault="009866CA">
      <w:r>
        <w:t>4.</w:t>
      </w:r>
      <w:r>
        <w:tab/>
        <w:t>Welche Nebenwirkungen sind möglich?</w:t>
      </w:r>
    </w:p>
    <w:p w14:paraId="2D04F337" w14:textId="77777777" w:rsidR="008B7366" w:rsidRDefault="009866CA">
      <w:r>
        <w:t>5.</w:t>
      </w:r>
      <w:r>
        <w:tab/>
        <w:t xml:space="preserve">Wie ist </w:t>
      </w:r>
      <w:proofErr w:type="spellStart"/>
      <w:r>
        <w:t>Vaxchora</w:t>
      </w:r>
      <w:proofErr w:type="spellEnd"/>
      <w:r>
        <w:t xml:space="preserve"> aufzubewahren?</w:t>
      </w:r>
    </w:p>
    <w:p w14:paraId="31F351EF" w14:textId="77777777" w:rsidR="008B7366" w:rsidRDefault="009866CA">
      <w:r>
        <w:t>6.</w:t>
      </w:r>
      <w:r>
        <w:tab/>
        <w:t>Inhalt der Packung und weitere Informationen</w:t>
      </w:r>
    </w:p>
    <w:p w14:paraId="5E9B0634" w14:textId="77777777" w:rsidR="008B7366" w:rsidRDefault="008B7366"/>
    <w:p w14:paraId="7C49E48F" w14:textId="77777777" w:rsidR="008B7366" w:rsidRDefault="008B7366"/>
    <w:p w14:paraId="39D242D4" w14:textId="77777777" w:rsidR="008B7366" w:rsidRDefault="009866CA">
      <w:pPr>
        <w:pStyle w:val="Heading1"/>
      </w:pPr>
      <w:r>
        <w:t>1.</w:t>
      </w:r>
      <w:r>
        <w:tab/>
        <w:t xml:space="preserve">Was ist </w:t>
      </w:r>
      <w:proofErr w:type="spellStart"/>
      <w:r>
        <w:t>Vaxchora</w:t>
      </w:r>
      <w:proofErr w:type="spellEnd"/>
      <w:r>
        <w:t xml:space="preserve"> und wofür wird es angewendet?</w:t>
      </w:r>
    </w:p>
    <w:p w14:paraId="525A82AD" w14:textId="77777777" w:rsidR="008B7366" w:rsidRDefault="008B7366">
      <w:pPr>
        <w:keepNext/>
      </w:pPr>
    </w:p>
    <w:p w14:paraId="75540182" w14:textId="77777777" w:rsidR="008B7366" w:rsidRDefault="009866CA">
      <w:proofErr w:type="spellStart"/>
      <w:r>
        <w:t>Vaxchora</w:t>
      </w:r>
      <w:proofErr w:type="spellEnd"/>
      <w:r>
        <w:t xml:space="preserve"> ist ein Schluckimpfstoff gegen Cholera, der die Immunabwehr im Darm anregt. Der Impfstoff schützt Erwachsene und Kinder ab </w:t>
      </w:r>
      <w:r w:rsidR="000D42C8">
        <w:t>2</w:t>
      </w:r>
      <w:r>
        <w:t> Jahren vor Cholera. Der Impfstoff muss spätestens 10 Tage vor Antritt einer Reise in ein Choleragebiet eingenommen werden.</w:t>
      </w:r>
    </w:p>
    <w:p w14:paraId="32CAD030" w14:textId="77777777" w:rsidR="008B7366" w:rsidRDefault="008B7366"/>
    <w:p w14:paraId="29A193EF" w14:textId="77777777" w:rsidR="008B7366" w:rsidRPr="006B1EDF" w:rsidRDefault="009866CA">
      <w:pPr>
        <w:pStyle w:val="HeadingStrong"/>
        <w:rPr>
          <w:b w:val="0"/>
          <w:bCs w:val="0"/>
          <w:i/>
          <w:iCs/>
        </w:rPr>
      </w:pPr>
      <w:r w:rsidRPr="006B1EDF">
        <w:rPr>
          <w:b w:val="0"/>
          <w:bCs w:val="0"/>
          <w:i/>
          <w:iCs/>
        </w:rPr>
        <w:t xml:space="preserve">Wie wirkt </w:t>
      </w:r>
      <w:proofErr w:type="spellStart"/>
      <w:r w:rsidRPr="006B1EDF">
        <w:rPr>
          <w:b w:val="0"/>
          <w:bCs w:val="0"/>
          <w:i/>
          <w:iCs/>
        </w:rPr>
        <w:t>Vaxchora</w:t>
      </w:r>
      <w:proofErr w:type="spellEnd"/>
      <w:r w:rsidRPr="006B1EDF">
        <w:rPr>
          <w:b w:val="0"/>
          <w:bCs w:val="0"/>
          <w:i/>
          <w:iCs/>
        </w:rPr>
        <w:t>?</w:t>
      </w:r>
    </w:p>
    <w:p w14:paraId="36B51124" w14:textId="77777777" w:rsidR="008B7366" w:rsidRDefault="008B7366">
      <w:pPr>
        <w:keepNext/>
      </w:pPr>
    </w:p>
    <w:p w14:paraId="5B5F5955" w14:textId="77777777" w:rsidR="008B7366" w:rsidRDefault="009866CA">
      <w:proofErr w:type="spellStart"/>
      <w:r>
        <w:t>Vaxchora</w:t>
      </w:r>
      <w:proofErr w:type="spellEnd"/>
      <w:r>
        <w:t xml:space="preserve"> bereitet das Immunsystem (das Abwehrsystem des Körpers) darauf vor, sich selbständig vor Cholera zu schützen. Wenn eine Person den Impfstoff einnimmt, produziert das Immunsystem Antikörper (Proteine) gegen das Cholera-Bakterium und sein Toxin (schädliche Substanz), die Diarrhoe verursachen. Das Immunsystem ist dann bereit, Cholera-Bakterien zu bekämpfen, wenn die Person mit diesen in Kontakt kommt.</w:t>
      </w:r>
    </w:p>
    <w:p w14:paraId="73F3081D" w14:textId="77777777" w:rsidR="008B7366" w:rsidRDefault="008B7366"/>
    <w:p w14:paraId="4D8B3280" w14:textId="77777777" w:rsidR="008B7366" w:rsidRDefault="008B7366"/>
    <w:p w14:paraId="701D3CFA" w14:textId="77777777" w:rsidR="008B7366" w:rsidRDefault="009866CA">
      <w:pPr>
        <w:pStyle w:val="Heading1"/>
      </w:pPr>
      <w:r>
        <w:t>2.</w:t>
      </w:r>
      <w:r>
        <w:tab/>
        <w:t xml:space="preserve">Was sollten Sie vor der Einnahme von </w:t>
      </w:r>
      <w:proofErr w:type="spellStart"/>
      <w:r>
        <w:t>Vaxchora</w:t>
      </w:r>
      <w:proofErr w:type="spellEnd"/>
      <w:r>
        <w:t xml:space="preserve"> beachten?</w:t>
      </w:r>
    </w:p>
    <w:p w14:paraId="2CB932EA" w14:textId="77777777" w:rsidR="008B7366" w:rsidRDefault="008B7366">
      <w:pPr>
        <w:keepNext/>
      </w:pPr>
    </w:p>
    <w:p w14:paraId="57E30AA8" w14:textId="1B92D873" w:rsidR="008B7366" w:rsidRDefault="009866CA">
      <w:pPr>
        <w:pStyle w:val="HeadingStrong"/>
      </w:pPr>
      <w:proofErr w:type="spellStart"/>
      <w:r>
        <w:t>Vaxchora</w:t>
      </w:r>
      <w:proofErr w:type="spellEnd"/>
      <w:r>
        <w:t xml:space="preserve"> darf nicht eingenommen werden</w:t>
      </w:r>
      <w:r w:rsidR="00D042F4">
        <w:t>,</w:t>
      </w:r>
    </w:p>
    <w:p w14:paraId="3C1CAC18" w14:textId="77777777" w:rsidR="008B7366" w:rsidRDefault="009866CA">
      <w:pPr>
        <w:pStyle w:val="Bullet-"/>
      </w:pPr>
      <w:r>
        <w:t>wenn Sie allergisch gegen einen der in Abschnitt 6 genannten Bestandteile dieses Arzneimittels sind.</w:t>
      </w:r>
    </w:p>
    <w:p w14:paraId="10369044" w14:textId="77777777" w:rsidR="008B7366" w:rsidRDefault="009866CA">
      <w:pPr>
        <w:pStyle w:val="Bullet-"/>
      </w:pPr>
      <w:r>
        <w:t xml:space="preserve">wenn Ihr Immunsystem geschwächt ist, weil Sie beispielsweise mit einem geschwächten Immunsystem geboren wurden oder </w:t>
      </w:r>
      <w:r w:rsidR="00C77BCD">
        <w:t xml:space="preserve">sich </w:t>
      </w:r>
      <w:r>
        <w:t xml:space="preserve">Behandlungen </w:t>
      </w:r>
      <w:r w:rsidR="00C77BCD">
        <w:t xml:space="preserve">unterzogen haben, die das Immunsystem schwächen können, </w:t>
      </w:r>
      <w:r>
        <w:t xml:space="preserve">z. B. </w:t>
      </w:r>
      <w:r w:rsidR="00C77BCD">
        <w:t xml:space="preserve">eine Behandlung mit </w:t>
      </w:r>
      <w:r>
        <w:t xml:space="preserve">hoch dosiertem Kortikosteroid, </w:t>
      </w:r>
      <w:r w:rsidR="00C77BCD">
        <w:t xml:space="preserve">eine Behandlung mit </w:t>
      </w:r>
      <w:r>
        <w:t>Krebsmedikamenten oder eine Strahlentherapie.</w:t>
      </w:r>
    </w:p>
    <w:p w14:paraId="184938AD" w14:textId="77777777" w:rsidR="008B7366" w:rsidRDefault="008B7366"/>
    <w:p w14:paraId="4C10129F" w14:textId="77777777" w:rsidR="008B7366" w:rsidRDefault="009866CA">
      <w:pPr>
        <w:pStyle w:val="HeadingStrong"/>
      </w:pPr>
      <w:r>
        <w:t>Warnhinweise und Vorsichtsmaßnahmen</w:t>
      </w:r>
    </w:p>
    <w:p w14:paraId="1FA74C6F" w14:textId="77777777" w:rsidR="008B7366" w:rsidRDefault="009866CA">
      <w:r>
        <w:t xml:space="preserve">Bitte sprechen Sie mit Ihrem Arzt, Apotheker oder dem medizinischen Fachpersonal, bevor Sie </w:t>
      </w:r>
      <w:proofErr w:type="spellStart"/>
      <w:r>
        <w:t>Vaxchora</w:t>
      </w:r>
      <w:proofErr w:type="spellEnd"/>
      <w:r>
        <w:t xml:space="preserve"> einnehmen.</w:t>
      </w:r>
    </w:p>
    <w:p w14:paraId="702BFCA9" w14:textId="77777777" w:rsidR="008B7366" w:rsidRDefault="008B7366"/>
    <w:p w14:paraId="472BE380" w14:textId="7ECE0F9D" w:rsidR="004B59BD" w:rsidRDefault="004B59BD" w:rsidP="006B1EDF">
      <w:pPr>
        <w:keepNext/>
      </w:pPr>
      <w:r w:rsidRPr="004B59BD">
        <w:lastRenderedPageBreak/>
        <w:t>Wenden Sie sich sofort an einen Arzt, wenn bei Ihnen die folgenden schwerwiegenden Nebenwirkungen auftreten (siehe auch Abschnitt</w:t>
      </w:r>
      <w:r w:rsidR="00FE468E">
        <w:t> </w:t>
      </w:r>
      <w:r w:rsidRPr="004B59BD">
        <w:t>4):</w:t>
      </w:r>
    </w:p>
    <w:p w14:paraId="2470A63F" w14:textId="407ED461" w:rsidR="00FE468E" w:rsidRDefault="00FE468E" w:rsidP="006B1EDF">
      <w:pPr>
        <w:pStyle w:val="ListParagraph"/>
        <w:numPr>
          <w:ilvl w:val="0"/>
          <w:numId w:val="21"/>
        </w:numPr>
        <w:ind w:left="567" w:hanging="567"/>
      </w:pPr>
      <w:r w:rsidRPr="00FE468E">
        <w:t xml:space="preserve">schwerwiegende allergische Reaktionen, die Schwellungen des Gesichts oder des Rachens, </w:t>
      </w:r>
      <w:r w:rsidR="00C2136F">
        <w:t>Quaddeln</w:t>
      </w:r>
      <w:r w:rsidRPr="00FE468E">
        <w:t>, juckenden Ausschlag, Atem</w:t>
      </w:r>
      <w:r w:rsidR="00250CA9">
        <w:t>losigkeit</w:t>
      </w:r>
      <w:r w:rsidRPr="00FE468E">
        <w:t xml:space="preserve"> und/oder Blutdruckabfall und </w:t>
      </w:r>
      <w:r w:rsidR="00E6186F">
        <w:t>Bewusstlosigkeit</w:t>
      </w:r>
      <w:r w:rsidRPr="00FE468E">
        <w:t xml:space="preserve"> verursachen.</w:t>
      </w:r>
    </w:p>
    <w:p w14:paraId="68BEB086" w14:textId="77777777" w:rsidR="00FE468E" w:rsidRDefault="00FE468E"/>
    <w:p w14:paraId="265EEEDA" w14:textId="0ED6A4FF" w:rsidR="00E903AD" w:rsidRDefault="00E903AD">
      <w:r w:rsidRPr="00E903AD">
        <w:t xml:space="preserve">Wenn Sie eines der folgenden Symptome oder eine Kombination aus Übelkeit, Erbrechen, Durchfall oder Bauchschmerzen haben, sprechen Sie vor der Impfung mit Ihrem Arzt, Apotheker oder dem </w:t>
      </w:r>
      <w:r w:rsidR="007F0AFC">
        <w:t>medizinischen Fachpersonal</w:t>
      </w:r>
      <w:r w:rsidRPr="00E903AD">
        <w:t>. Die Impfung sollte bis nach der Genesung aufgeschoben werden, da der Schutz gegen Cholera vermindert sein kann.</w:t>
      </w:r>
    </w:p>
    <w:p w14:paraId="3BFA8471" w14:textId="77777777" w:rsidR="00E903AD" w:rsidRDefault="00E903AD"/>
    <w:p w14:paraId="6288E464" w14:textId="7E5B7A3F" w:rsidR="008B7366" w:rsidRDefault="009866CA">
      <w:r>
        <w:t xml:space="preserve">Nicht alle Menschen, die mit </w:t>
      </w:r>
      <w:r w:rsidR="0057013E">
        <w:t xml:space="preserve">diesem Impfstoff </w:t>
      </w:r>
      <w:r>
        <w:t>geimpft sind, sind vollständig gegen Cholera geschützt. Daher ist es wichtig, weiterhin die Vorkehrungen zur Hygiene zu befolgen und besondere Vorsicht beim Verzehr von Nahrungsmitteln und Wasser in Choleragebieten walten zu lassen.</w:t>
      </w:r>
    </w:p>
    <w:p w14:paraId="38AEBA0D" w14:textId="77777777" w:rsidR="008B7366" w:rsidRDefault="008B7366"/>
    <w:p w14:paraId="222469E1" w14:textId="166DAFD6" w:rsidR="008B7366" w:rsidRDefault="009866CA">
      <w:r>
        <w:t xml:space="preserve">Bei Menschen mit HIV ist die Wirksamkeit </w:t>
      </w:r>
      <w:r w:rsidR="00D0614C">
        <w:t xml:space="preserve">dieses Impfstoffs </w:t>
      </w:r>
      <w:r>
        <w:t>möglicherweise geringer.</w:t>
      </w:r>
    </w:p>
    <w:p w14:paraId="69FE9874" w14:textId="77777777" w:rsidR="008B7366" w:rsidRDefault="008B7366"/>
    <w:p w14:paraId="672B916D" w14:textId="478926C6" w:rsidR="008B7366" w:rsidRDefault="009866CA">
      <w:r>
        <w:t xml:space="preserve">Die Bakterien des Impfstoffs werden möglicherweise über einen Zeitraum von mindestens 7 Tagen nach der Einnahme des Impfstoffs über den Stuhl ausgeschieden. Um eine Kontamination zu vermeiden, nach der Einnahme </w:t>
      </w:r>
      <w:r w:rsidR="00BC16ED">
        <w:t xml:space="preserve">dieses Impfstoffs </w:t>
      </w:r>
      <w:r>
        <w:t>mindestens 14 Tage lang die Hände gründlich nach dem Toilettengang</w:t>
      </w:r>
      <w:r w:rsidR="008E08E8">
        <w:t>, nach dem Windelwechsel</w:t>
      </w:r>
      <w:r>
        <w:t xml:space="preserve"> und vor der Zubereitung von Mahlzeiten waschen.</w:t>
      </w:r>
    </w:p>
    <w:p w14:paraId="0D76E309" w14:textId="77777777" w:rsidR="008B7366" w:rsidRDefault="008B7366"/>
    <w:p w14:paraId="24F07AFB" w14:textId="77777777" w:rsidR="008B7366" w:rsidRDefault="009866CA">
      <w:pPr>
        <w:pStyle w:val="HeadingStrong"/>
      </w:pPr>
      <w:r>
        <w:t>Kinder und Jugendliche</w:t>
      </w:r>
    </w:p>
    <w:p w14:paraId="38AAB731" w14:textId="77777777" w:rsidR="008B7366" w:rsidRDefault="009866CA">
      <w:r>
        <w:t xml:space="preserve">Dieser Impfstoff darf nicht an Kinder unter </w:t>
      </w:r>
      <w:r w:rsidR="000D42C8">
        <w:t>2</w:t>
      </w:r>
      <w:r>
        <w:t> Jahren verabreicht werden, da die Wirksamkeit in dieser Altersgruppe nicht bekannt ist.</w:t>
      </w:r>
    </w:p>
    <w:p w14:paraId="08429BA3" w14:textId="77777777" w:rsidR="008B7366" w:rsidRDefault="008B7366"/>
    <w:p w14:paraId="7E595E9A" w14:textId="77777777" w:rsidR="008B7366" w:rsidRDefault="009866CA">
      <w:pPr>
        <w:pStyle w:val="HeadingStrong"/>
      </w:pPr>
      <w:r>
        <w:t xml:space="preserve">Einnahme von </w:t>
      </w:r>
      <w:proofErr w:type="spellStart"/>
      <w:r>
        <w:t>Vaxchora</w:t>
      </w:r>
      <w:proofErr w:type="spellEnd"/>
      <w:r>
        <w:t xml:space="preserve"> zusammen mit anderen Arzneimitteln</w:t>
      </w:r>
    </w:p>
    <w:p w14:paraId="458F4875" w14:textId="73A152B8" w:rsidR="008B7366" w:rsidRDefault="009866CA">
      <w:r>
        <w:t xml:space="preserve">Informieren Sie Ihren Arzt, Apotheker oder das medizinische Fachpersonal, wenn Sie andere Arzneimittel einnehmen, kürzlich andere Arzneimittel eingenommen haben oder beabsichtigen andere Arzneimittel einzunehmen. Dies schließt auch rezeptfreie Medikamente ein, wie z. B. pflanzliche Arzneimittel. Der Grund hierfür ist, dass </w:t>
      </w:r>
      <w:r w:rsidR="00086076">
        <w:t xml:space="preserve">dieser Impfstoff </w:t>
      </w:r>
      <w:r>
        <w:t>die Wirkung anderer Arzneimittel und Impfstoffe beeinflussen kann.</w:t>
      </w:r>
    </w:p>
    <w:p w14:paraId="24DB9CED" w14:textId="77777777" w:rsidR="008B7366" w:rsidRDefault="008B7366"/>
    <w:p w14:paraId="18200392" w14:textId="77777777" w:rsidR="008B7366" w:rsidRDefault="009866CA">
      <w:r>
        <w:t>Informieren Sie Ihren Arzt, Apotheker oder das medizinische Fachpersonal insbesondere dann, wenn Sie Folgendes einnehmen:</w:t>
      </w:r>
    </w:p>
    <w:p w14:paraId="1F35B8DB" w14:textId="66122E5D" w:rsidR="008B7366" w:rsidRDefault="009866CA" w:rsidP="006B1EDF">
      <w:pPr>
        <w:pStyle w:val="Bullet"/>
        <w:numPr>
          <w:ilvl w:val="0"/>
          <w:numId w:val="22"/>
        </w:numPr>
      </w:pPr>
      <w:r>
        <w:t xml:space="preserve">Antibiotika – </w:t>
      </w:r>
      <w:r w:rsidR="00E072A9">
        <w:t xml:space="preserve">dieser Impfstoff </w:t>
      </w:r>
      <w:r>
        <w:t>wirkt möglicherweise nicht, wenn e</w:t>
      </w:r>
      <w:r w:rsidR="00E072A9">
        <w:t>r</w:t>
      </w:r>
      <w:r>
        <w:t xml:space="preserve"> während einer Antibiotikabehandlung eingenommen wird. </w:t>
      </w:r>
      <w:r w:rsidR="00E072A9">
        <w:t xml:space="preserve">Dieser Impfstoff </w:t>
      </w:r>
      <w:r>
        <w:t xml:space="preserve">darf frühestens 14 Tage nach der letzten Antibiotikadosis eingenommen werden. Die Verabreichung von Antibiotika innerhalb von 10 Tagen nach der Einnahme </w:t>
      </w:r>
      <w:r w:rsidR="005433A0">
        <w:t xml:space="preserve">dieses Impfstoffs </w:t>
      </w:r>
      <w:r>
        <w:t>vermeiden.</w:t>
      </w:r>
    </w:p>
    <w:p w14:paraId="6B01619A" w14:textId="73AA62A4" w:rsidR="008B7366" w:rsidRDefault="009866CA" w:rsidP="006B1EDF">
      <w:pPr>
        <w:pStyle w:val="Bullet"/>
        <w:numPr>
          <w:ilvl w:val="0"/>
          <w:numId w:val="22"/>
        </w:numPr>
      </w:pPr>
      <w:r>
        <w:t xml:space="preserve">Chloroquin zur Malaria-Prävention – </w:t>
      </w:r>
      <w:r w:rsidR="005433A0">
        <w:t xml:space="preserve">dieser Impfstoff </w:t>
      </w:r>
      <w:r>
        <w:t>wirkt möglicherweise nicht, wenn e</w:t>
      </w:r>
      <w:r w:rsidR="005433A0">
        <w:t>r</w:t>
      </w:r>
      <w:r>
        <w:t xml:space="preserve"> während einer Behandlung mit Chloroquin eingenommen wird. </w:t>
      </w:r>
      <w:r w:rsidR="005433A0">
        <w:t xml:space="preserve">Dieser Impfstoff </w:t>
      </w:r>
      <w:r>
        <w:t>muss spätestens 10 Tage vor Beginn einer Behandlung mit Chloroquin bzw. 14 Tage nach Einnahme von Chloroquin verabreicht werden.</w:t>
      </w:r>
    </w:p>
    <w:p w14:paraId="2F0A4C0E" w14:textId="577EA76C" w:rsidR="008B7366" w:rsidRDefault="009866CA" w:rsidP="006B1EDF">
      <w:pPr>
        <w:pStyle w:val="Bullet"/>
        <w:numPr>
          <w:ilvl w:val="0"/>
          <w:numId w:val="22"/>
        </w:numPr>
      </w:pPr>
      <w:r>
        <w:t xml:space="preserve">Typhus-Impfstoff Ty21a – </w:t>
      </w:r>
      <w:r w:rsidR="00D3467D">
        <w:t xml:space="preserve">dieser Impfstoff </w:t>
      </w:r>
      <w:r>
        <w:t>wirkt möglicherweise nicht, wenn e</w:t>
      </w:r>
      <w:r w:rsidR="00D3467D">
        <w:t>r</w:t>
      </w:r>
      <w:r>
        <w:t xml:space="preserve"> gleichzeitig mit Ty21a eingenommen wird. </w:t>
      </w:r>
      <w:r w:rsidR="00D3467D">
        <w:t xml:space="preserve">Dieser Impfstoff </w:t>
      </w:r>
      <w:r>
        <w:t>muss spätestens bzw. darf frühestens 2 Stunden vor bzw. nach der Einnahme von Ty21a eingenommen werden.</w:t>
      </w:r>
    </w:p>
    <w:p w14:paraId="39147959" w14:textId="77777777" w:rsidR="008B7366" w:rsidRDefault="008B7366"/>
    <w:p w14:paraId="61801103" w14:textId="30E9B546" w:rsidR="008B7366" w:rsidRDefault="009866CA">
      <w:r>
        <w:t xml:space="preserve">Wenn Sie eines der oben genannten Arzneimittel einnehmen, sprechen Sie bitte mit Ihrem Arzt, Apotheker oder dem medizinischen Fachpersonal, bevor Sie </w:t>
      </w:r>
      <w:r w:rsidR="00616F8D">
        <w:t xml:space="preserve">diesen Impfstoff </w:t>
      </w:r>
      <w:r>
        <w:t>einnehmen.</w:t>
      </w:r>
    </w:p>
    <w:p w14:paraId="09199D73" w14:textId="77777777" w:rsidR="008B7366" w:rsidRDefault="008B7366"/>
    <w:p w14:paraId="36B9F3D5" w14:textId="77777777" w:rsidR="008B7366" w:rsidRDefault="009866CA">
      <w:pPr>
        <w:pStyle w:val="HeadingStrong"/>
      </w:pPr>
      <w:r>
        <w:t xml:space="preserve">Einnahme von </w:t>
      </w:r>
      <w:proofErr w:type="spellStart"/>
      <w:r>
        <w:t>Vaxchora</w:t>
      </w:r>
      <w:proofErr w:type="spellEnd"/>
      <w:r>
        <w:t xml:space="preserve"> zusammen mit Nahrungsmitteln und Getränken</w:t>
      </w:r>
    </w:p>
    <w:p w14:paraId="16CC0EEB" w14:textId="10DC0C82" w:rsidR="008B7366" w:rsidRDefault="009866CA">
      <w:r>
        <w:t xml:space="preserve">60 Minuten vor bis 60 Minuten nach der Einnahme </w:t>
      </w:r>
      <w:proofErr w:type="gramStart"/>
      <w:r>
        <w:t xml:space="preserve">von </w:t>
      </w:r>
      <w:r w:rsidR="0053447E">
        <w:t>dieses Impfstoffs</w:t>
      </w:r>
      <w:proofErr w:type="gramEnd"/>
      <w:r w:rsidR="0053447E">
        <w:t xml:space="preserve"> </w:t>
      </w:r>
      <w:r>
        <w:t>sollte auf den Verzehr von Nahrungsmitteln und Getränken verzichtet werden, da sonst die Wirkung des Impfstoffs verringert werden könnte.</w:t>
      </w:r>
    </w:p>
    <w:p w14:paraId="2D650D5C" w14:textId="77777777" w:rsidR="008B7366" w:rsidRDefault="008B7366"/>
    <w:p w14:paraId="18BE60E9" w14:textId="64D8950A" w:rsidR="008B7366" w:rsidRDefault="009866CA">
      <w:pPr>
        <w:pStyle w:val="HeadingStrong"/>
      </w:pPr>
      <w:r>
        <w:lastRenderedPageBreak/>
        <w:t xml:space="preserve">Schwangerschaft, Stillzeit und </w:t>
      </w:r>
      <w:r w:rsidR="00E96F8F" w:rsidRPr="00C119D8">
        <w:t>Fortpflanzungsfähigkeit</w:t>
      </w:r>
    </w:p>
    <w:p w14:paraId="5A987FFE" w14:textId="77777777" w:rsidR="008B7366" w:rsidRDefault="009866CA">
      <w:r>
        <w:t>Wenn Sie schwanger sind oder stillen, oder wenn Sie vermuten, schwanger zu sein oder beabsichtigen, schwanger zu werden, fragen Sie vor der Einnahme dieses Arzneimittels Ihren Arzt oder Apotheker um Rat.</w:t>
      </w:r>
    </w:p>
    <w:p w14:paraId="277319B4" w14:textId="77777777" w:rsidR="008B7366" w:rsidRDefault="008B7366"/>
    <w:p w14:paraId="05ADCD7C" w14:textId="77777777" w:rsidR="008B7366" w:rsidRDefault="009866CA">
      <w:pPr>
        <w:pStyle w:val="HeadingStrong"/>
      </w:pPr>
      <w:r>
        <w:t>Verkehrstüchtigkeit und Fähigkeit zum Bedienen von Maschinen</w:t>
      </w:r>
    </w:p>
    <w:p w14:paraId="77B0BF46" w14:textId="41289EBC" w:rsidR="008B7366" w:rsidRDefault="00E1301A">
      <w:proofErr w:type="spellStart"/>
      <w:r>
        <w:t>Vaxchora</w:t>
      </w:r>
      <w:proofErr w:type="spellEnd"/>
      <w:r>
        <w:t xml:space="preserve"> hat keinen oder einen zu vernach</w:t>
      </w:r>
      <w:r w:rsidR="003E631C">
        <w:t xml:space="preserve">lässigenden Einfluss auf die Verkehrstüchtigkeit und die Fähigkeit zum Bedienen von Maschinen. </w:t>
      </w:r>
      <w:r w:rsidR="00D9567B" w:rsidRPr="00D9567B">
        <w:t>Einige der in Abschnitt</w:t>
      </w:r>
      <w:r w:rsidR="001B4BA4">
        <w:t> </w:t>
      </w:r>
      <w:r w:rsidR="00D9567B" w:rsidRPr="00D9567B">
        <w:t>4 „</w:t>
      </w:r>
      <w:r w:rsidR="001B4BA4">
        <w:t xml:space="preserve">Welche </w:t>
      </w:r>
      <w:r w:rsidR="00D9567B" w:rsidRPr="00D9567B">
        <w:t>Nebenwirkungen</w:t>
      </w:r>
      <w:r w:rsidR="001B4BA4">
        <w:t xml:space="preserve"> </w:t>
      </w:r>
      <w:proofErr w:type="gramStart"/>
      <w:r w:rsidR="001B4BA4">
        <w:t>sind</w:t>
      </w:r>
      <w:proofErr w:type="gramEnd"/>
      <w:r w:rsidR="001B4BA4">
        <w:t xml:space="preserve"> möglich?</w:t>
      </w:r>
      <w:r w:rsidR="00D9567B" w:rsidRPr="00D9567B">
        <w:t xml:space="preserve">“ genannten Wirkungen können jedoch vorübergehend die </w:t>
      </w:r>
      <w:r w:rsidR="00F75FE2">
        <w:t>Verkehrstüchtigkeit</w:t>
      </w:r>
      <w:r w:rsidR="00D9567B" w:rsidRPr="00D9567B">
        <w:t xml:space="preserve"> oder</w:t>
      </w:r>
      <w:r w:rsidR="00167F1B">
        <w:t xml:space="preserve"> Fähigkeit</w:t>
      </w:r>
      <w:r w:rsidR="00D9567B" w:rsidRPr="00D9567B">
        <w:t xml:space="preserve"> zum Bedienen von Maschinen beeinträchtigen. </w:t>
      </w:r>
      <w:r w:rsidR="00B24860">
        <w:t>Führen</w:t>
      </w:r>
      <w:r w:rsidR="00B24860" w:rsidRPr="00DF7BF6">
        <w:t xml:space="preserve"> Sie </w:t>
      </w:r>
      <w:r w:rsidR="00B24860">
        <w:t>kein</w:t>
      </w:r>
      <w:r w:rsidR="00B24860" w:rsidRPr="00DF7BF6">
        <w:t xml:space="preserve"> </w:t>
      </w:r>
      <w:r w:rsidR="00B24860">
        <w:t>Fahrzeug</w:t>
      </w:r>
      <w:r w:rsidR="00B24860" w:rsidRPr="00DF7BF6">
        <w:t xml:space="preserve"> und bedienen Sie keine Maschinen, wenn Sie sich nach der Impfung unwohl fühlen.</w:t>
      </w:r>
    </w:p>
    <w:p w14:paraId="52A6C73B" w14:textId="77777777" w:rsidR="008B7366" w:rsidRDefault="008B7366"/>
    <w:p w14:paraId="6336045D" w14:textId="386FE95E" w:rsidR="008B7366" w:rsidRDefault="009866CA">
      <w:pPr>
        <w:pStyle w:val="HeadingStrong"/>
      </w:pPr>
      <w:proofErr w:type="spellStart"/>
      <w:r>
        <w:t>Vaxchora</w:t>
      </w:r>
      <w:proofErr w:type="spellEnd"/>
      <w:r>
        <w:t xml:space="preserve"> enthält Lactose, </w:t>
      </w:r>
      <w:r w:rsidR="002C6B90">
        <w:t>Saccharose</w:t>
      </w:r>
      <w:r>
        <w:t xml:space="preserve"> und Natrium</w:t>
      </w:r>
    </w:p>
    <w:p w14:paraId="2A524D23" w14:textId="35E60749" w:rsidR="008B7366" w:rsidRDefault="00CF4C8D">
      <w:r w:rsidRPr="00CF4C8D">
        <w:t xml:space="preserve">Bitte nehmen Sie </w:t>
      </w:r>
      <w:r>
        <w:t xml:space="preserve">dieses Arzneimittel </w:t>
      </w:r>
      <w:r w:rsidRPr="00CF4C8D">
        <w:t>erst nach Rücksprache mit Ihrem Arzt ein, wenn Ihnen bekannt ist, dass Sie unter einer Zuckerunverträglichkeit leiden.</w:t>
      </w:r>
    </w:p>
    <w:p w14:paraId="3265FA07" w14:textId="77777777" w:rsidR="008B7366" w:rsidRDefault="008B7366"/>
    <w:p w14:paraId="0D35AEDF" w14:textId="44CCFBDE" w:rsidR="008B7366" w:rsidRDefault="009866CA">
      <w:r>
        <w:t>Dieser Impfstoff enthält 863 mg Natrium (Hauptbestandteil von Kochsalz</w:t>
      </w:r>
      <w:r w:rsidR="00044612">
        <w:t>/Speisesalz</w:t>
      </w:r>
      <w:r>
        <w:t>) pro Dosis. Dies entspricht 43</w:t>
      </w:r>
      <w:r w:rsidR="00A65C54">
        <w:t> </w:t>
      </w:r>
      <w:r>
        <w:t xml:space="preserve">% der </w:t>
      </w:r>
      <w:r w:rsidR="00044612">
        <w:t xml:space="preserve">für einen Erwachsenen </w:t>
      </w:r>
      <w:r>
        <w:t xml:space="preserve">empfohlenen </w:t>
      </w:r>
      <w:r w:rsidR="00044612">
        <w:t>maximalen täglichen Natriumaufnahme mit der Nahrung</w:t>
      </w:r>
      <w:r>
        <w:t>. Wenn Sie eine kochsalzarme Diät einhalten müssen, sollten Sie dies berücksichtigen.</w:t>
      </w:r>
    </w:p>
    <w:p w14:paraId="5F8249B2" w14:textId="77777777" w:rsidR="008B7366" w:rsidRDefault="008B7366"/>
    <w:p w14:paraId="245223B5" w14:textId="77777777" w:rsidR="008B7366" w:rsidRDefault="008B7366"/>
    <w:p w14:paraId="7E309BC2" w14:textId="77777777" w:rsidR="008B7366" w:rsidRDefault="009866CA">
      <w:pPr>
        <w:pStyle w:val="Heading1"/>
      </w:pPr>
      <w:r>
        <w:t>3.</w:t>
      </w:r>
      <w:r>
        <w:tab/>
        <w:t xml:space="preserve">Wie ist </w:t>
      </w:r>
      <w:proofErr w:type="spellStart"/>
      <w:r>
        <w:t>Vaxchora</w:t>
      </w:r>
      <w:proofErr w:type="spellEnd"/>
      <w:r>
        <w:t xml:space="preserve"> einzunehmen?</w:t>
      </w:r>
    </w:p>
    <w:p w14:paraId="29D46CD8" w14:textId="77777777" w:rsidR="008B7366" w:rsidRDefault="008B7366"/>
    <w:p w14:paraId="55606E9D" w14:textId="77777777" w:rsidR="008B7366" w:rsidRDefault="009866CA">
      <w:r>
        <w:t>Nehmen Sie diesen Impfstoff immer genau nach Absprache mit Ihrem Arzt, Apotheker oder dem medizinischen Fachpersonal ein. Fragen Sie bei Ihrem Arzt, Apotheker oder dem medizinischen Fachpersonal nach, wenn Sie sich nicht sicher sind.</w:t>
      </w:r>
    </w:p>
    <w:p w14:paraId="6F805632" w14:textId="77777777" w:rsidR="008B7366" w:rsidRDefault="008B7366"/>
    <w:p w14:paraId="2977C236" w14:textId="4E5E6923" w:rsidR="008B7366" w:rsidRDefault="009866CA">
      <w:r>
        <w:t>Die empfohlene Dosis besteht im Inhalt der beiden Beutel, die in der Schachtel enthalten sind.</w:t>
      </w:r>
      <w:r w:rsidR="00132C88">
        <w:t xml:space="preserve"> Bei Kindern im Alter von 2 bis unter 6</w:t>
      </w:r>
      <w:r w:rsidR="00083EB8">
        <w:t> </w:t>
      </w:r>
      <w:r w:rsidR="00132C88">
        <w:t>Jahren muss jedoch Schritt 8 der Anweisungen zur Zubereitung des Impfstoffs beachtet werden (siehe unten).</w:t>
      </w:r>
    </w:p>
    <w:p w14:paraId="726269CE" w14:textId="77777777" w:rsidR="008B7366" w:rsidRDefault="008B7366"/>
    <w:p w14:paraId="4481FC05" w14:textId="77777777" w:rsidR="008B7366" w:rsidRDefault="009866CA">
      <w:r>
        <w:t xml:space="preserve">Der Schutz gegen Cholera wird innerhalb von 10 Tagen nach Einnahme von </w:t>
      </w:r>
      <w:proofErr w:type="spellStart"/>
      <w:r>
        <w:t>Vaxchora</w:t>
      </w:r>
      <w:proofErr w:type="spellEnd"/>
      <w:r>
        <w:t xml:space="preserve"> wirksam. Ihr Arzt, Apotheker oder das medizinische Fachpersonal wird Sie darüber informieren, zu welchem Zeitpunkt vor der Reise der Impfstoff spätestens eingenommen werden muss.</w:t>
      </w:r>
    </w:p>
    <w:p w14:paraId="49AE3324" w14:textId="77777777" w:rsidR="008B7366" w:rsidRDefault="008B7366"/>
    <w:p w14:paraId="3AECD86D" w14:textId="77777777" w:rsidR="008B7366" w:rsidRDefault="009866CA">
      <w:pPr>
        <w:pStyle w:val="HeadingStrong"/>
      </w:pPr>
      <w:r>
        <w:lastRenderedPageBreak/>
        <w:t>Gebrauchsanweisung:</w:t>
      </w:r>
    </w:p>
    <w:p w14:paraId="2B379A1A" w14:textId="77777777" w:rsidR="008B7366" w:rsidRDefault="008B7366">
      <w:pPr>
        <w:keepNex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42"/>
        <w:gridCol w:w="3686"/>
        <w:gridCol w:w="4394"/>
      </w:tblGrid>
      <w:tr w:rsidR="008B7366" w14:paraId="6A352549" w14:textId="77777777">
        <w:trPr>
          <w:cantSplit/>
          <w:trHeight w:val="2600"/>
        </w:trPr>
        <w:tc>
          <w:tcPr>
            <w:tcW w:w="9303" w:type="dxa"/>
            <w:gridSpan w:val="3"/>
            <w:shd w:val="clear" w:color="auto" w:fill="auto"/>
          </w:tcPr>
          <w:p w14:paraId="0F1F9C62" w14:textId="77777777" w:rsidR="008B7366" w:rsidRDefault="009866CA">
            <w:pPr>
              <w:pStyle w:val="HeadingStrong"/>
              <w:jc w:val="center"/>
            </w:pPr>
            <w:r>
              <w:t>DIESEN IMPFSTOFF WIE IN DIESER PACKUNGSBEILAGE BESCHRIEBEN ZUBEREITEN</w:t>
            </w:r>
          </w:p>
          <w:p w14:paraId="4ABF1346" w14:textId="77777777" w:rsidR="008B7366" w:rsidRDefault="008B7366">
            <w:pPr>
              <w:pStyle w:val="NormalKeep"/>
              <w:keepNext w:val="0"/>
            </w:pPr>
          </w:p>
          <w:p w14:paraId="1F533CB3" w14:textId="77777777" w:rsidR="008B7366" w:rsidRDefault="009866CA">
            <w:pPr>
              <w:pStyle w:val="HeadingStrong"/>
            </w:pPr>
            <w:r>
              <w:t>Lesen Sie bitte folgende Anweisungen, bevor Sie beginnen:</w:t>
            </w:r>
          </w:p>
          <w:p w14:paraId="574C5174" w14:textId="77777777" w:rsidR="008B7366" w:rsidRDefault="009866CA">
            <w:proofErr w:type="spellStart"/>
            <w:r>
              <w:t>Vaxchora</w:t>
            </w:r>
            <w:proofErr w:type="spellEnd"/>
            <w:r>
              <w:t xml:space="preserve"> wirkt unter den folgenden Bedingungen möglicherweise nicht:</w:t>
            </w:r>
          </w:p>
          <w:p w14:paraId="25DDB259" w14:textId="215E4F88" w:rsidR="008B7366" w:rsidRDefault="009866CA">
            <w:pPr>
              <w:pStyle w:val="Bullet"/>
            </w:pPr>
            <w:r>
              <w:t>Nicht ordnungsgemäße Lagerung; der Impfstoff muss im Kühlschrank</w:t>
            </w:r>
            <w:r w:rsidR="00DA6A75">
              <w:t xml:space="preserve"> (2 °C </w:t>
            </w:r>
            <w:r w:rsidR="00A43E3E">
              <w:t>–</w:t>
            </w:r>
            <w:r w:rsidR="00DA6A75">
              <w:t xml:space="preserve"> </w:t>
            </w:r>
            <w:r w:rsidR="00A43E3E">
              <w:t>8 °C)</w:t>
            </w:r>
            <w:r>
              <w:t xml:space="preserve"> aufbewahrt werden.</w:t>
            </w:r>
          </w:p>
          <w:p w14:paraId="450FC6B1" w14:textId="77777777" w:rsidR="008B7366" w:rsidRDefault="009866CA">
            <w:pPr>
              <w:pStyle w:val="Bullet"/>
            </w:pPr>
            <w:r>
              <w:t>Verwendung einer falschen Wassermenge; 100 ml müssen verwendet werden.</w:t>
            </w:r>
          </w:p>
          <w:p w14:paraId="09463D49" w14:textId="58509E4B" w:rsidR="008B7366" w:rsidRDefault="009866CA">
            <w:pPr>
              <w:pStyle w:val="Bullet"/>
            </w:pPr>
            <w:r>
              <w:t>Verwendung des falschen Wassertyps; das</w:t>
            </w:r>
            <w:r w:rsidR="00E179E1">
              <w:t xml:space="preserve"> Tafel- oder </w:t>
            </w:r>
            <w:r>
              <w:t xml:space="preserve">Mineralwasser muss kalt sein oder Raumtemperatur haben und darf </w:t>
            </w:r>
            <w:r w:rsidR="00DB6021">
              <w:t>kohlensäurefrei oder kohlensäurehaltig sein.</w:t>
            </w:r>
          </w:p>
          <w:p w14:paraId="66A9C9D9" w14:textId="16F45190" w:rsidR="008B7366" w:rsidRDefault="009866CA">
            <w:pPr>
              <w:pStyle w:val="Bullet"/>
            </w:pPr>
            <w:r>
              <w:t>Mischen der Beutel in der falschen Reihenfolge; Beutel</w:t>
            </w:r>
            <w:r w:rsidR="00083EB8">
              <w:t> </w:t>
            </w:r>
            <w:r>
              <w:t>1 muss zuerst in das Wasser gegeben werden. Wenn die Beutel in der falschen Reihenfolge gemischt werden, müssen Sie den Impfstoff verwerfen und eine Ersatzdosis anfordern.</w:t>
            </w:r>
          </w:p>
          <w:p w14:paraId="1AB169BE" w14:textId="77777777" w:rsidR="008B7366" w:rsidRDefault="009866CA">
            <w:pPr>
              <w:pStyle w:val="Bullet"/>
            </w:pPr>
            <w:r>
              <w:t>Der Verzehr von Nahrungsmitteln und Getränken 60 Minuten vor bis 60 Minuten nach der Einnahme des Impfstoffs muss vermieden werden, da sonst die Wirkung des Impfstoffs vermindert werden könnte.</w:t>
            </w:r>
          </w:p>
          <w:p w14:paraId="233264AF" w14:textId="77777777" w:rsidR="008B7366" w:rsidRDefault="008B7366"/>
          <w:p w14:paraId="5F4D4C10" w14:textId="77777777" w:rsidR="008B7366" w:rsidRDefault="009866CA">
            <w:r>
              <w:t>Während der Zubereitung des Arzneimittels nicht die Augen berühren, um eine Kontamination zu vermeiden.</w:t>
            </w:r>
          </w:p>
          <w:p w14:paraId="336BEE62" w14:textId="77777777" w:rsidR="008B7366" w:rsidRDefault="008B7366"/>
          <w:p w14:paraId="4EA50702" w14:textId="77777777" w:rsidR="008B7366" w:rsidRDefault="009866CA">
            <w:r>
              <w:t xml:space="preserve">Wenn Pulver oder Flüssigkeit verschüttet </w:t>
            </w:r>
            <w:proofErr w:type="gramStart"/>
            <w:r>
              <w:t>wird</w:t>
            </w:r>
            <w:proofErr w:type="gramEnd"/>
            <w:r>
              <w:t>, die Oberfläche mit heißem Wasser und Seife oder einem antibakteriellen Desinfektionsmittel reinigen.</w:t>
            </w:r>
          </w:p>
          <w:p w14:paraId="2C0AB6AA" w14:textId="77777777" w:rsidR="008B7366" w:rsidRDefault="008B7366"/>
          <w:p w14:paraId="320E508E" w14:textId="77777777" w:rsidR="008B7366" w:rsidRDefault="009866CA">
            <w:r>
              <w:t>Wenn eine größere Menge verschüttet wird (d. h. mehr als ein paar Tropfen oder Pulverkörner), den Impfstoff verwerfen und an Ihren Arzt oder Apotheker wenden, um einen neuen Impfstoff zu erhalten; NICHT das übrig gebliebene Arzneimittel einnehmen.</w:t>
            </w:r>
          </w:p>
        </w:tc>
      </w:tr>
      <w:tr w:rsidR="008B7366" w14:paraId="64C7C9E1" w14:textId="77777777">
        <w:trPr>
          <w:cantSplit/>
        </w:trPr>
        <w:tc>
          <w:tcPr>
            <w:tcW w:w="1242" w:type="dxa"/>
            <w:tcBorders>
              <w:top w:val="single" w:sz="2" w:space="0" w:color="auto"/>
              <w:left w:val="single" w:sz="2" w:space="0" w:color="auto"/>
              <w:bottom w:val="single" w:sz="2" w:space="0" w:color="auto"/>
              <w:right w:val="nil"/>
            </w:tcBorders>
            <w:shd w:val="clear" w:color="auto" w:fill="auto"/>
          </w:tcPr>
          <w:p w14:paraId="13E44939" w14:textId="77777777" w:rsidR="008B7366" w:rsidRDefault="009866CA">
            <w:r>
              <w:t>Schritt 1</w:t>
            </w:r>
          </w:p>
        </w:tc>
        <w:tc>
          <w:tcPr>
            <w:tcW w:w="3686" w:type="dxa"/>
            <w:tcBorders>
              <w:top w:val="single" w:sz="2" w:space="0" w:color="auto"/>
              <w:left w:val="nil"/>
              <w:bottom w:val="single" w:sz="2" w:space="0" w:color="auto"/>
              <w:right w:val="nil"/>
            </w:tcBorders>
            <w:shd w:val="clear" w:color="auto" w:fill="auto"/>
          </w:tcPr>
          <w:p w14:paraId="37D9D22B" w14:textId="77777777" w:rsidR="008B7366" w:rsidRDefault="008B7366">
            <w:pPr>
              <w:jc w:val="center"/>
            </w:pPr>
          </w:p>
        </w:tc>
        <w:tc>
          <w:tcPr>
            <w:tcW w:w="4394" w:type="dxa"/>
            <w:tcBorders>
              <w:top w:val="single" w:sz="2" w:space="0" w:color="auto"/>
              <w:left w:val="nil"/>
              <w:bottom w:val="single" w:sz="2" w:space="0" w:color="auto"/>
              <w:right w:val="single" w:sz="2" w:space="0" w:color="auto"/>
            </w:tcBorders>
            <w:shd w:val="clear" w:color="auto" w:fill="auto"/>
          </w:tcPr>
          <w:p w14:paraId="3A6099E2" w14:textId="77777777" w:rsidR="008B7366" w:rsidRDefault="009866CA">
            <w:r>
              <w:t>Materialien zusammenstellen:</w:t>
            </w:r>
          </w:p>
          <w:p w14:paraId="26FC39E9" w14:textId="77777777" w:rsidR="008B7366" w:rsidRDefault="009866CA">
            <w:pPr>
              <w:pStyle w:val="Bullet"/>
            </w:pPr>
            <w:r>
              <w:t>Sauberer Becher</w:t>
            </w:r>
          </w:p>
          <w:p w14:paraId="35466C13" w14:textId="77777777" w:rsidR="008B7366" w:rsidRDefault="009866CA">
            <w:pPr>
              <w:pStyle w:val="Bullet"/>
            </w:pPr>
            <w:r>
              <w:t>Gegenstand zum Rühren</w:t>
            </w:r>
          </w:p>
          <w:p w14:paraId="69ACD2DE" w14:textId="35E9BFBB" w:rsidR="008B7366" w:rsidRDefault="00563481">
            <w:pPr>
              <w:pStyle w:val="Bullet"/>
            </w:pPr>
            <w:r>
              <w:t xml:space="preserve">Tafel- oder </w:t>
            </w:r>
            <w:r w:rsidR="009866CA">
              <w:t xml:space="preserve">Mineralwasser (ohne </w:t>
            </w:r>
            <w:r w:rsidR="009E1042">
              <w:t xml:space="preserve">oder mit </w:t>
            </w:r>
            <w:r w:rsidR="009866CA">
              <w:t>Kohlensäure, kalt oder mit Raumtemperatur, 25</w:t>
            </w:r>
            <w:r w:rsidR="0061753D">
              <w:t> </w:t>
            </w:r>
            <w:r w:rsidR="009866CA">
              <w:t>°C oder weniger)</w:t>
            </w:r>
          </w:p>
          <w:p w14:paraId="262270CE" w14:textId="77777777" w:rsidR="008B7366" w:rsidRDefault="009866CA">
            <w:pPr>
              <w:pStyle w:val="Bullet"/>
            </w:pPr>
            <w:r>
              <w:t xml:space="preserve">Messbecher zum Abmessen von 100 ml </w:t>
            </w:r>
            <w:r w:rsidR="00E179E1">
              <w:t xml:space="preserve">Tafel- oder </w:t>
            </w:r>
            <w:r>
              <w:t>Mineralwasser</w:t>
            </w:r>
          </w:p>
          <w:p w14:paraId="124E66BB" w14:textId="77777777" w:rsidR="008B7366" w:rsidRDefault="009866CA">
            <w:pPr>
              <w:pStyle w:val="Bullet"/>
            </w:pPr>
            <w:r>
              <w:t>Schere</w:t>
            </w:r>
          </w:p>
        </w:tc>
      </w:tr>
      <w:tr w:rsidR="008B7366" w14:paraId="684D5B7D" w14:textId="77777777">
        <w:trPr>
          <w:cantSplit/>
        </w:trPr>
        <w:tc>
          <w:tcPr>
            <w:tcW w:w="1242" w:type="dxa"/>
            <w:tcBorders>
              <w:top w:val="single" w:sz="2" w:space="0" w:color="auto"/>
              <w:left w:val="single" w:sz="2" w:space="0" w:color="auto"/>
              <w:bottom w:val="single" w:sz="2" w:space="0" w:color="auto"/>
              <w:right w:val="nil"/>
            </w:tcBorders>
            <w:shd w:val="clear" w:color="auto" w:fill="auto"/>
          </w:tcPr>
          <w:p w14:paraId="5F98B48C" w14:textId="77777777" w:rsidR="008B7366" w:rsidRDefault="009866CA">
            <w:r>
              <w:t>Schritt 2</w:t>
            </w:r>
          </w:p>
        </w:tc>
        <w:tc>
          <w:tcPr>
            <w:tcW w:w="3686" w:type="dxa"/>
            <w:tcBorders>
              <w:top w:val="single" w:sz="2" w:space="0" w:color="auto"/>
              <w:left w:val="nil"/>
              <w:bottom w:val="single" w:sz="2" w:space="0" w:color="auto"/>
              <w:right w:val="nil"/>
            </w:tcBorders>
            <w:shd w:val="clear" w:color="auto" w:fill="auto"/>
          </w:tcPr>
          <w:p w14:paraId="005349B6" w14:textId="16905F53" w:rsidR="008B7366" w:rsidRDefault="009C4D94">
            <w:pPr>
              <w:jc w:val="center"/>
            </w:pPr>
            <w:r>
              <w:rPr>
                <w:noProof/>
                <w:lang w:eastAsia="de-DE"/>
              </w:rPr>
              <w:drawing>
                <wp:inline distT="0" distB="0" distL="0" distR="0" wp14:anchorId="11EA9DF9" wp14:editId="5911AFC1">
                  <wp:extent cx="2001520" cy="143319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1520" cy="1433195"/>
                          </a:xfrm>
                          <a:prstGeom prst="rect">
                            <a:avLst/>
                          </a:prstGeom>
                          <a:noFill/>
                          <a:ln>
                            <a:noFill/>
                          </a:ln>
                        </pic:spPr>
                      </pic:pic>
                    </a:graphicData>
                  </a:graphic>
                </wp:inline>
              </w:drawing>
            </w:r>
          </w:p>
        </w:tc>
        <w:tc>
          <w:tcPr>
            <w:tcW w:w="4394" w:type="dxa"/>
            <w:tcBorders>
              <w:top w:val="single" w:sz="2" w:space="0" w:color="auto"/>
              <w:left w:val="nil"/>
              <w:bottom w:val="single" w:sz="2" w:space="0" w:color="auto"/>
              <w:right w:val="single" w:sz="2" w:space="0" w:color="auto"/>
            </w:tcBorders>
            <w:shd w:val="clear" w:color="auto" w:fill="auto"/>
          </w:tcPr>
          <w:p w14:paraId="163F7F58" w14:textId="77777777" w:rsidR="008B7366" w:rsidRDefault="009866CA">
            <w:r>
              <w:t>Impfstoff aus dem Kühlschrank nehmen.</w:t>
            </w:r>
          </w:p>
          <w:p w14:paraId="1D051D9A" w14:textId="77777777" w:rsidR="008B7366" w:rsidRDefault="008B7366"/>
        </w:tc>
      </w:tr>
      <w:tr w:rsidR="008B7366" w14:paraId="5DB36652" w14:textId="77777777">
        <w:trPr>
          <w:cantSplit/>
        </w:trPr>
        <w:tc>
          <w:tcPr>
            <w:tcW w:w="1242" w:type="dxa"/>
            <w:tcBorders>
              <w:top w:val="single" w:sz="2" w:space="0" w:color="auto"/>
              <w:left w:val="single" w:sz="2" w:space="0" w:color="auto"/>
              <w:bottom w:val="single" w:sz="2" w:space="0" w:color="auto"/>
              <w:right w:val="nil"/>
            </w:tcBorders>
            <w:shd w:val="clear" w:color="auto" w:fill="auto"/>
          </w:tcPr>
          <w:p w14:paraId="7ABBC5D0" w14:textId="77777777" w:rsidR="008B7366" w:rsidRDefault="009866CA">
            <w:r>
              <w:lastRenderedPageBreak/>
              <w:t>Schritt 3</w:t>
            </w:r>
          </w:p>
        </w:tc>
        <w:tc>
          <w:tcPr>
            <w:tcW w:w="3686" w:type="dxa"/>
            <w:tcBorders>
              <w:top w:val="single" w:sz="2" w:space="0" w:color="auto"/>
              <w:left w:val="nil"/>
              <w:bottom w:val="single" w:sz="2" w:space="0" w:color="auto"/>
              <w:right w:val="nil"/>
            </w:tcBorders>
            <w:shd w:val="clear" w:color="auto" w:fill="auto"/>
          </w:tcPr>
          <w:p w14:paraId="10A0C2FD" w14:textId="68A7C17E" w:rsidR="008B7366" w:rsidRDefault="009C4D94">
            <w:pPr>
              <w:jc w:val="center"/>
            </w:pPr>
            <w:r>
              <w:rPr>
                <w:noProof/>
                <w:lang w:eastAsia="de-DE"/>
              </w:rPr>
              <w:drawing>
                <wp:inline distT="0" distB="0" distL="0" distR="0" wp14:anchorId="70BB1DB7" wp14:editId="4E748F3C">
                  <wp:extent cx="1413510" cy="1127125"/>
                  <wp:effectExtent l="0" t="0" r="0" b="0"/>
                  <wp:docPr id="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5">
                            <a:extLst>
                              <a:ext uri="{28A0092B-C50C-407E-A947-70E740481C1C}">
                                <a14:useLocalDpi xmlns:a14="http://schemas.microsoft.com/office/drawing/2010/main" val="0"/>
                              </a:ext>
                            </a:extLst>
                          </a:blip>
                          <a:srcRect l="-1649" t="-53728" r="-1215" b="-54167"/>
                          <a:stretch>
                            <a:fillRect/>
                          </a:stretch>
                        </pic:blipFill>
                        <pic:spPr bwMode="auto">
                          <a:xfrm>
                            <a:off x="0" y="0"/>
                            <a:ext cx="1413510" cy="1127125"/>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shd w:val="clear" w:color="auto" w:fill="auto"/>
          </w:tcPr>
          <w:p w14:paraId="0265124B" w14:textId="636D282C" w:rsidR="008B7366" w:rsidRDefault="009866CA">
            <w:r>
              <w:t>Die beiden Beutel bereitlegen: Die Beutel sind mit den Nummern</w:t>
            </w:r>
            <w:r w:rsidR="00083EB8">
              <w:t> </w:t>
            </w:r>
            <w:r>
              <w:t>1 und 2 beschriftet.</w:t>
            </w:r>
          </w:p>
          <w:p w14:paraId="7A7B8B6D" w14:textId="77777777" w:rsidR="008B7366" w:rsidRDefault="008B7366"/>
          <w:p w14:paraId="70A0E00A" w14:textId="4906A4AF" w:rsidR="008B7366" w:rsidRDefault="009866CA">
            <w:r>
              <w:t>Beutel</w:t>
            </w:r>
            <w:r w:rsidR="00B24860">
              <w:t> </w:t>
            </w:r>
            <w:r>
              <w:t xml:space="preserve">1 enthält </w:t>
            </w:r>
            <w:r w:rsidR="00607E30">
              <w:t>„</w:t>
            </w:r>
            <w:proofErr w:type="spellStart"/>
            <w:r w:rsidR="00FB2397">
              <w:t>Vaxchora</w:t>
            </w:r>
            <w:proofErr w:type="spellEnd"/>
            <w:r w:rsidR="00FB2397">
              <w:t xml:space="preserve"> Puffer</w:t>
            </w:r>
            <w:r w:rsidR="00607E30">
              <w:t>“</w:t>
            </w:r>
            <w:r>
              <w:t xml:space="preserve"> und ist schwarz-weiß. Beutel</w:t>
            </w:r>
            <w:r w:rsidR="00083EB8">
              <w:t> </w:t>
            </w:r>
            <w:r>
              <w:t>2 enthält “</w:t>
            </w:r>
            <w:proofErr w:type="spellStart"/>
            <w:r>
              <w:t>Vaxchora</w:t>
            </w:r>
            <w:proofErr w:type="spellEnd"/>
            <w:r>
              <w:t xml:space="preserve"> Wirkstoff” und ist blau-weiß.</w:t>
            </w:r>
          </w:p>
          <w:p w14:paraId="66BFD1BF" w14:textId="77777777" w:rsidR="008B7366" w:rsidRDefault="008B7366"/>
          <w:p w14:paraId="67DE7ECD" w14:textId="77777777" w:rsidR="008B7366" w:rsidRDefault="009866CA">
            <w:r>
              <w:t>Wenn ein Beutel beschädigt ist, keinen der beiden Beutel verwenden und an Ihren Arzt, Apotheker oder das medizinische Fachpersonal wenden, um eine Ersatzdosis zu erhalten. Die Verwendung eines beschädigten Beutels kann die Wirkung des Impfstoffs beeinträchtigen.</w:t>
            </w:r>
          </w:p>
        </w:tc>
      </w:tr>
      <w:tr w:rsidR="008B7366" w14:paraId="13D004F2" w14:textId="77777777">
        <w:trPr>
          <w:cantSplit/>
        </w:trPr>
        <w:tc>
          <w:tcPr>
            <w:tcW w:w="1242" w:type="dxa"/>
            <w:tcBorders>
              <w:top w:val="single" w:sz="2" w:space="0" w:color="auto"/>
              <w:left w:val="single" w:sz="2" w:space="0" w:color="auto"/>
              <w:bottom w:val="single" w:sz="2" w:space="0" w:color="auto"/>
              <w:right w:val="nil"/>
            </w:tcBorders>
            <w:shd w:val="clear" w:color="auto" w:fill="auto"/>
          </w:tcPr>
          <w:p w14:paraId="46694E8D" w14:textId="77777777" w:rsidR="008B7366" w:rsidRDefault="009866CA">
            <w:r>
              <w:t>Schritt 4</w:t>
            </w:r>
          </w:p>
        </w:tc>
        <w:tc>
          <w:tcPr>
            <w:tcW w:w="3686" w:type="dxa"/>
            <w:tcBorders>
              <w:top w:val="single" w:sz="2" w:space="0" w:color="auto"/>
              <w:left w:val="nil"/>
              <w:bottom w:val="single" w:sz="2" w:space="0" w:color="auto"/>
              <w:right w:val="nil"/>
            </w:tcBorders>
            <w:shd w:val="clear" w:color="auto" w:fill="auto"/>
          </w:tcPr>
          <w:p w14:paraId="50F74D3D" w14:textId="7728291E" w:rsidR="008B7366" w:rsidRDefault="009C4D94">
            <w:pPr>
              <w:jc w:val="center"/>
            </w:pPr>
            <w:r>
              <w:rPr>
                <w:noProof/>
                <w:lang w:eastAsia="de-DE"/>
              </w:rPr>
              <w:drawing>
                <wp:inline distT="0" distB="0" distL="0" distR="0" wp14:anchorId="556FE187" wp14:editId="17176270">
                  <wp:extent cx="1892935" cy="1502410"/>
                  <wp:effectExtent l="0" t="0" r="0" b="0"/>
                  <wp:docPr id="5" name="Picture 5" descr="Screen Shot 2019-08-05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 Shot 2019-08-05 at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935" cy="150241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shd w:val="clear" w:color="auto" w:fill="auto"/>
          </w:tcPr>
          <w:p w14:paraId="3A5B0B15" w14:textId="4642037F" w:rsidR="008B7366" w:rsidRDefault="009866CA">
            <w:r>
              <w:t xml:space="preserve">100 ml kohlensäurefreies </w:t>
            </w:r>
            <w:r w:rsidR="00B00102">
              <w:t xml:space="preserve">oder kohlensäurehaltiges </w:t>
            </w:r>
            <w:r w:rsidR="00563481">
              <w:t xml:space="preserve">Tafel- oder </w:t>
            </w:r>
            <w:r w:rsidRPr="00BC2476">
              <w:rPr>
                <w:rStyle w:val="Strong"/>
                <w:b w:val="0"/>
                <w:bCs w:val="0"/>
              </w:rPr>
              <w:t>Mineralwasser</w:t>
            </w:r>
            <w:r>
              <w:t>, das kalt ist oder Raumtemperatur hat, abmessen und in einen sauberen Becher geben.</w:t>
            </w:r>
          </w:p>
          <w:p w14:paraId="51C4EA03" w14:textId="77777777" w:rsidR="008B7366" w:rsidRDefault="008B7366"/>
          <w:p w14:paraId="0A525693" w14:textId="77777777" w:rsidR="008B7366" w:rsidRDefault="009866CA">
            <w:r>
              <w:t xml:space="preserve">Die Verwendung von </w:t>
            </w:r>
            <w:r w:rsidR="00E179E1">
              <w:t xml:space="preserve">Tafel- oder </w:t>
            </w:r>
            <w:r>
              <w:t xml:space="preserve">Mineralwasser ist erforderlich, damit der Impfstoff wirkt. Wenn anderes Wasser als </w:t>
            </w:r>
            <w:r w:rsidR="00E179E1">
              <w:t xml:space="preserve">Tafel- oder </w:t>
            </w:r>
            <w:r>
              <w:t>Mineralwasser (z. B. Leitungswasser) verwendet wird, kann der Impfstoff unwirksam werden.</w:t>
            </w:r>
          </w:p>
        </w:tc>
      </w:tr>
      <w:tr w:rsidR="008B7366" w14:paraId="164AFF17" w14:textId="77777777">
        <w:trPr>
          <w:cantSplit/>
        </w:trPr>
        <w:tc>
          <w:tcPr>
            <w:tcW w:w="1242" w:type="dxa"/>
            <w:tcBorders>
              <w:top w:val="single" w:sz="2" w:space="0" w:color="auto"/>
              <w:left w:val="single" w:sz="2" w:space="0" w:color="auto"/>
              <w:bottom w:val="single" w:sz="2" w:space="0" w:color="auto"/>
              <w:right w:val="nil"/>
            </w:tcBorders>
            <w:shd w:val="clear" w:color="auto" w:fill="auto"/>
          </w:tcPr>
          <w:p w14:paraId="2E5A6C97" w14:textId="77777777" w:rsidR="008B7366" w:rsidRDefault="009866CA">
            <w:r>
              <w:t>Schritt 5</w:t>
            </w:r>
          </w:p>
        </w:tc>
        <w:tc>
          <w:tcPr>
            <w:tcW w:w="3686" w:type="dxa"/>
            <w:tcBorders>
              <w:top w:val="single" w:sz="2" w:space="0" w:color="auto"/>
              <w:left w:val="nil"/>
              <w:bottom w:val="single" w:sz="2" w:space="0" w:color="auto"/>
              <w:right w:val="nil"/>
            </w:tcBorders>
            <w:shd w:val="clear" w:color="auto" w:fill="auto"/>
          </w:tcPr>
          <w:p w14:paraId="5E04AAEE" w14:textId="0FA71972" w:rsidR="008B7366" w:rsidRDefault="009C4D94">
            <w:pPr>
              <w:jc w:val="center"/>
            </w:pPr>
            <w:r>
              <w:rPr>
                <w:noProof/>
                <w:lang w:eastAsia="de-DE"/>
              </w:rPr>
              <w:drawing>
                <wp:inline distT="0" distB="0" distL="0" distR="0" wp14:anchorId="402BCF2F" wp14:editId="4FFF492D">
                  <wp:extent cx="1260475" cy="1008380"/>
                  <wp:effectExtent l="0" t="0" r="0" b="0"/>
                  <wp:docPr id="6"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pic:cNvPicPr>
                            <a:picLocks noChangeAspect="1" noChangeArrowheads="1"/>
                          </pic:cNvPicPr>
                        </pic:nvPicPr>
                        <pic:blipFill>
                          <a:blip r:embed="rId17">
                            <a:extLst>
                              <a:ext uri="{28A0092B-C50C-407E-A947-70E740481C1C}">
                                <a14:useLocalDpi xmlns:a14="http://schemas.microsoft.com/office/drawing/2010/main" val="0"/>
                              </a:ext>
                            </a:extLst>
                          </a:blip>
                          <a:srcRect l="-2525" t="-59645" r="-1631" b="-41371"/>
                          <a:stretch>
                            <a:fillRect/>
                          </a:stretch>
                        </pic:blipFill>
                        <pic:spPr bwMode="auto">
                          <a:xfrm>
                            <a:off x="0" y="0"/>
                            <a:ext cx="1260475" cy="100838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shd w:val="clear" w:color="auto" w:fill="auto"/>
          </w:tcPr>
          <w:p w14:paraId="741E50A3" w14:textId="1EE8AE9C" w:rsidR="008B7366" w:rsidRDefault="009866CA">
            <w:r>
              <w:t>Beutel</w:t>
            </w:r>
            <w:r w:rsidR="00083EB8">
              <w:t> </w:t>
            </w:r>
            <w:r>
              <w:t>1 oben mit einer Schere aufschneiden.</w:t>
            </w:r>
          </w:p>
          <w:p w14:paraId="4A0877CC" w14:textId="77777777" w:rsidR="008B7366" w:rsidRDefault="008B7366"/>
          <w:p w14:paraId="41E8AD3E" w14:textId="77777777" w:rsidR="008B7366" w:rsidRDefault="009866CA">
            <w:r>
              <w:t>Nicht die Finger in den Beutel stecken. Wenn Ihre Hände mit dem Inhalt des Beutels in Berührung gekommen sind, Hände waschen, um die Gefahr einer Kontamination zu verringern.</w:t>
            </w:r>
          </w:p>
        </w:tc>
      </w:tr>
      <w:tr w:rsidR="008B7366" w14:paraId="2A10EC30" w14:textId="77777777">
        <w:trPr>
          <w:cantSplit/>
          <w:trHeight w:val="2237"/>
        </w:trPr>
        <w:tc>
          <w:tcPr>
            <w:tcW w:w="1242" w:type="dxa"/>
            <w:tcBorders>
              <w:top w:val="single" w:sz="2" w:space="0" w:color="auto"/>
              <w:left w:val="single" w:sz="2" w:space="0" w:color="auto"/>
              <w:bottom w:val="single" w:sz="2" w:space="0" w:color="auto"/>
              <w:right w:val="nil"/>
            </w:tcBorders>
            <w:shd w:val="clear" w:color="auto" w:fill="auto"/>
          </w:tcPr>
          <w:p w14:paraId="5628C77B" w14:textId="77777777" w:rsidR="008B7366" w:rsidRDefault="009866CA">
            <w:r>
              <w:t>Schritt 6</w:t>
            </w:r>
          </w:p>
        </w:tc>
        <w:tc>
          <w:tcPr>
            <w:tcW w:w="3686" w:type="dxa"/>
            <w:tcBorders>
              <w:top w:val="single" w:sz="2" w:space="0" w:color="auto"/>
              <w:left w:val="nil"/>
              <w:bottom w:val="single" w:sz="2" w:space="0" w:color="auto"/>
              <w:right w:val="nil"/>
            </w:tcBorders>
            <w:shd w:val="clear" w:color="auto" w:fill="auto"/>
          </w:tcPr>
          <w:p w14:paraId="7579A760" w14:textId="5A2CEB42" w:rsidR="008B7366" w:rsidRDefault="009C4D94">
            <w:pPr>
              <w:jc w:val="center"/>
            </w:pPr>
            <w:r>
              <w:rPr>
                <w:noProof/>
                <w:lang w:eastAsia="de-DE"/>
              </w:rPr>
              <w:drawing>
                <wp:inline distT="0" distB="0" distL="0" distR="0" wp14:anchorId="6BB8216D" wp14:editId="7DD4722C">
                  <wp:extent cx="978535" cy="1235710"/>
                  <wp:effectExtent l="0" t="0" r="0" b="0"/>
                  <wp:docPr id="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
                          <pic:cNvPicPr>
                            <a:picLocks noChangeAspect="1" noChangeArrowheads="1"/>
                          </pic:cNvPicPr>
                        </pic:nvPicPr>
                        <pic:blipFill>
                          <a:blip r:embed="rId18">
                            <a:extLst>
                              <a:ext uri="{28A0092B-C50C-407E-A947-70E740481C1C}">
                                <a14:useLocalDpi xmlns:a14="http://schemas.microsoft.com/office/drawing/2010/main" val="0"/>
                              </a:ext>
                            </a:extLst>
                          </a:blip>
                          <a:srcRect l="-29828" r="-35944" b="-574"/>
                          <a:stretch>
                            <a:fillRect/>
                          </a:stretch>
                        </pic:blipFill>
                        <pic:spPr bwMode="auto">
                          <a:xfrm>
                            <a:off x="0" y="0"/>
                            <a:ext cx="978535" cy="123571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shd w:val="clear" w:color="auto" w:fill="auto"/>
          </w:tcPr>
          <w:p w14:paraId="57170B14" w14:textId="5F7F52C3" w:rsidR="008B7366" w:rsidRDefault="009866CA">
            <w:r>
              <w:t>Den Inhalt von Beutel</w:t>
            </w:r>
            <w:r w:rsidR="00083EB8">
              <w:t> </w:t>
            </w:r>
            <w:r>
              <w:t>1 in den mit Wasser gefüllten Becher geben. Dabei wird es etwas sprudeln.</w:t>
            </w:r>
          </w:p>
        </w:tc>
      </w:tr>
      <w:tr w:rsidR="008B7366" w14:paraId="484910A2" w14:textId="77777777">
        <w:trPr>
          <w:cantSplit/>
        </w:trPr>
        <w:tc>
          <w:tcPr>
            <w:tcW w:w="1242" w:type="dxa"/>
            <w:tcBorders>
              <w:top w:val="single" w:sz="2" w:space="0" w:color="auto"/>
              <w:left w:val="single" w:sz="2" w:space="0" w:color="auto"/>
              <w:bottom w:val="single" w:sz="2" w:space="0" w:color="auto"/>
              <w:right w:val="nil"/>
            </w:tcBorders>
            <w:shd w:val="clear" w:color="auto" w:fill="auto"/>
          </w:tcPr>
          <w:p w14:paraId="6641B2D2" w14:textId="77777777" w:rsidR="008B7366" w:rsidRDefault="009866CA">
            <w:r>
              <w:t>Schritt 7</w:t>
            </w:r>
          </w:p>
        </w:tc>
        <w:tc>
          <w:tcPr>
            <w:tcW w:w="3686" w:type="dxa"/>
            <w:tcBorders>
              <w:top w:val="single" w:sz="2" w:space="0" w:color="auto"/>
              <w:left w:val="nil"/>
              <w:bottom w:val="single" w:sz="2" w:space="0" w:color="auto"/>
              <w:right w:val="nil"/>
            </w:tcBorders>
            <w:shd w:val="clear" w:color="auto" w:fill="auto"/>
            <w:tcMar>
              <w:top w:w="28" w:type="dxa"/>
            </w:tcMar>
          </w:tcPr>
          <w:p w14:paraId="017603C6" w14:textId="0C711BAB" w:rsidR="008B7366" w:rsidRDefault="009C4D94">
            <w:pPr>
              <w:jc w:val="center"/>
            </w:pPr>
            <w:r>
              <w:rPr>
                <w:noProof/>
                <w:lang w:eastAsia="de-DE"/>
              </w:rPr>
              <w:drawing>
                <wp:inline distT="0" distB="0" distL="0" distR="0" wp14:anchorId="11E74D42" wp14:editId="33818FA9">
                  <wp:extent cx="978535" cy="133477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8535" cy="133477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shd w:val="clear" w:color="auto" w:fill="auto"/>
          </w:tcPr>
          <w:p w14:paraId="277B8279" w14:textId="77777777" w:rsidR="008B7366" w:rsidRDefault="009866CA">
            <w:r>
              <w:t>Rühren, bis das Pulver sich vollständig aufgelöst hat.</w:t>
            </w:r>
          </w:p>
        </w:tc>
      </w:tr>
      <w:tr w:rsidR="00132C88" w14:paraId="5AF5EC4F" w14:textId="77777777">
        <w:trPr>
          <w:cantSplit/>
        </w:trPr>
        <w:tc>
          <w:tcPr>
            <w:tcW w:w="1242" w:type="dxa"/>
            <w:tcBorders>
              <w:top w:val="single" w:sz="2" w:space="0" w:color="auto"/>
              <w:left w:val="single" w:sz="2" w:space="0" w:color="auto"/>
              <w:bottom w:val="single" w:sz="2" w:space="0" w:color="auto"/>
              <w:right w:val="nil"/>
            </w:tcBorders>
            <w:shd w:val="clear" w:color="auto" w:fill="auto"/>
          </w:tcPr>
          <w:p w14:paraId="360FF06E" w14:textId="77777777" w:rsidR="00132C88" w:rsidRDefault="00132C88">
            <w:r>
              <w:lastRenderedPageBreak/>
              <w:t>Schritt 8</w:t>
            </w:r>
          </w:p>
        </w:tc>
        <w:tc>
          <w:tcPr>
            <w:tcW w:w="3686" w:type="dxa"/>
            <w:tcBorders>
              <w:top w:val="single" w:sz="2" w:space="0" w:color="auto"/>
              <w:left w:val="nil"/>
              <w:bottom w:val="single" w:sz="2" w:space="0" w:color="auto"/>
              <w:right w:val="nil"/>
            </w:tcBorders>
            <w:shd w:val="clear" w:color="auto" w:fill="auto"/>
          </w:tcPr>
          <w:p w14:paraId="1C877864" w14:textId="116C95B5" w:rsidR="00132C88" w:rsidRDefault="009C4D94">
            <w:pPr>
              <w:jc w:val="center"/>
              <w:rPr>
                <w:noProof/>
                <w:lang w:eastAsia="de-DE"/>
              </w:rPr>
            </w:pPr>
            <w:r>
              <w:rPr>
                <w:noProof/>
                <w:lang w:eastAsia="de-DE"/>
              </w:rPr>
              <mc:AlternateContent>
                <mc:Choice Requires="wps">
                  <w:drawing>
                    <wp:anchor distT="0" distB="0" distL="114300" distR="114300" simplePos="0" relativeHeight="251657728" behindDoc="0" locked="0" layoutInCell="1" allowOverlap="1" wp14:anchorId="718B9DC9" wp14:editId="59FE721D">
                      <wp:simplePos x="0" y="0"/>
                      <wp:positionH relativeFrom="column">
                        <wp:posOffset>807720</wp:posOffset>
                      </wp:positionH>
                      <wp:positionV relativeFrom="paragraph">
                        <wp:posOffset>1225550</wp:posOffset>
                      </wp:positionV>
                      <wp:extent cx="575945" cy="127635"/>
                      <wp:effectExtent l="0" t="0" r="0" b="0"/>
                      <wp:wrapNone/>
                      <wp:docPr id="1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127635"/>
                              </a:xfrm>
                              <a:prstGeom prst="rect">
                                <a:avLst/>
                              </a:prstGeom>
                              <a:solidFill>
                                <a:sysClr val="window" lastClr="FFFFFF">
                                  <a:lumMod val="100000"/>
                                  <a:lumOff val="0"/>
                                </a:sysClr>
                              </a:solidFill>
                              <a:ln>
                                <a:noFill/>
                              </a:ln>
                            </wps:spPr>
                            <wps:txbx>
                              <w:txbxContent>
                                <w:p w14:paraId="4E11BA48" w14:textId="7598308A" w:rsidR="00554BEA" w:rsidRPr="00D569AA" w:rsidRDefault="00554BEA" w:rsidP="00D569AA">
                                  <w:pPr>
                                    <w:jc w:val="right"/>
                                    <w:rPr>
                                      <w:rFonts w:ascii="Arial" w:hAnsi="Arial" w:cs="Arial"/>
                                      <w:sz w:val="12"/>
                                      <w:szCs w:val="12"/>
                                    </w:rPr>
                                  </w:pPr>
                                  <w:r w:rsidRPr="00D569AA">
                                    <w:rPr>
                                      <w:rFonts w:ascii="Arial" w:hAnsi="Arial" w:cs="Arial"/>
                                      <w:sz w:val="12"/>
                                      <w:szCs w:val="12"/>
                                    </w:rPr>
                                    <w:sym w:font="Symbol" w:char="F0BB"/>
                                  </w:r>
                                  <w:r w:rsidRPr="00D569AA">
                                    <w:rPr>
                                      <w:rFonts w:ascii="Arial" w:hAnsi="Arial" w:cs="Arial"/>
                                      <w:sz w:val="12"/>
                                      <w:szCs w:val="12"/>
                                    </w:rPr>
                                    <w:t xml:space="preserve"> 50</w:t>
                                  </w:r>
                                  <w:r w:rsidR="00083EB8">
                                    <w:rPr>
                                      <w:rFonts w:ascii="Arial" w:hAnsi="Arial" w:cs="Arial"/>
                                      <w:sz w:val="12"/>
                                      <w:szCs w:val="12"/>
                                    </w:rPr>
                                    <w:t> </w:t>
                                  </w:r>
                                  <w:r w:rsidRPr="00D569AA">
                                    <w:rPr>
                                      <w:rFonts w:ascii="Arial" w:hAnsi="Arial" w:cs="Arial"/>
                                      <w:sz w:val="12"/>
                                      <w:szCs w:val="12"/>
                                    </w:rPr>
                                    <w:t>m</w:t>
                                  </w:r>
                                  <w:r>
                                    <w:rPr>
                                      <w:rFonts w:ascii="Arial" w:hAnsi="Arial" w:cs="Arial"/>
                                      <w:sz w:val="12"/>
                                      <w:szCs w:val="12"/>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B9DC9" id="_x0000_t202" coordsize="21600,21600" o:spt="202" path="m,l,21600r21600,l21600,xe">
                      <v:stroke joinstyle="miter"/>
                      <v:path gradientshapeok="t" o:connecttype="rect"/>
                    </v:shapetype>
                    <v:shape id="Textfeld 19" o:spid="_x0000_s1026" type="#_x0000_t202" style="position:absolute;left:0;text-align:left;margin-left:63.6pt;margin-top:96.5pt;width:45.35pt;height:1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" stroked="f">
                      <v:textbox inset="0,0,0,0">
                        <w:txbxContent>
                          <w:p w14:paraId="4E11BA48" w14:textId="7598308A" w:rsidR="00554BEA" w:rsidRPr="00D569AA" w:rsidRDefault="00554BEA" w:rsidP="00D569AA">
                            <w:pPr>
                              <w:jc w:val="right"/>
                              <w:rPr>
                                <w:rFonts w:ascii="Arial" w:hAnsi="Arial" w:cs="Arial"/>
                                <w:sz w:val="12"/>
                                <w:szCs w:val="12"/>
                              </w:rPr>
                            </w:pPr>
                            <w:r w:rsidRPr="00D569AA">
                              <w:rPr>
                                <w:rFonts w:ascii="Arial" w:hAnsi="Arial" w:cs="Arial"/>
                                <w:sz w:val="12"/>
                                <w:szCs w:val="12"/>
                              </w:rPr>
                              <w:sym w:font="Symbol" w:char="F0BB"/>
                            </w:r>
                            <w:r w:rsidRPr="00D569AA">
                              <w:rPr>
                                <w:rFonts w:ascii="Arial" w:hAnsi="Arial" w:cs="Arial"/>
                                <w:sz w:val="12"/>
                                <w:szCs w:val="12"/>
                              </w:rPr>
                              <w:t xml:space="preserve"> 50</w:t>
                            </w:r>
                            <w:r w:rsidR="00083EB8">
                              <w:rPr>
                                <w:rFonts w:ascii="Arial" w:hAnsi="Arial" w:cs="Arial"/>
                                <w:sz w:val="12"/>
                                <w:szCs w:val="12"/>
                              </w:rPr>
                              <w:t> </w:t>
                            </w:r>
                            <w:r w:rsidRPr="00D569AA">
                              <w:rPr>
                                <w:rFonts w:ascii="Arial" w:hAnsi="Arial" w:cs="Arial"/>
                                <w:sz w:val="12"/>
                                <w:szCs w:val="12"/>
                              </w:rPr>
                              <w:t>m</w:t>
                            </w:r>
                            <w:r>
                              <w:rPr>
                                <w:rFonts w:ascii="Arial" w:hAnsi="Arial" w:cs="Arial"/>
                                <w:sz w:val="12"/>
                                <w:szCs w:val="12"/>
                              </w:rPr>
                              <w:t>l</w:t>
                            </w:r>
                          </w:p>
                        </w:txbxContent>
                      </v:textbox>
                    </v:shape>
                  </w:pict>
                </mc:Fallback>
              </mc:AlternateContent>
            </w:r>
            <w:r>
              <w:rPr>
                <w:noProof/>
                <w:lang w:eastAsia="de-DE"/>
              </w:rPr>
              <w:drawing>
                <wp:inline distT="0" distB="0" distL="0" distR="0" wp14:anchorId="14312CCC" wp14:editId="54C29931">
                  <wp:extent cx="1418590" cy="1388745"/>
                  <wp:effectExtent l="0" t="0" r="0" b="0"/>
                  <wp:docPr id="9" name="Grafik 13" descr="Step 8 crop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Step 8 crop tif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8590" cy="1388745"/>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shd w:val="clear" w:color="auto" w:fill="auto"/>
          </w:tcPr>
          <w:p w14:paraId="1422524C" w14:textId="53886EA7" w:rsidR="00132C88" w:rsidRPr="00915112" w:rsidRDefault="00132C88" w:rsidP="00132C88">
            <w:pPr>
              <w:numPr>
                <w:ilvl w:val="12"/>
                <w:numId w:val="0"/>
              </w:numPr>
              <w:ind w:right="-2"/>
              <w:rPr>
                <w:b/>
                <w:i/>
                <w:noProof/>
              </w:rPr>
            </w:pPr>
            <w:r>
              <w:rPr>
                <w:b/>
                <w:i/>
                <w:noProof/>
              </w:rPr>
              <w:t>Gilt nur für Kinder im Alter von 2 bis</w:t>
            </w:r>
            <w:r w:rsidRPr="00915112">
              <w:rPr>
                <w:b/>
                <w:i/>
                <w:noProof/>
              </w:rPr>
              <w:t xml:space="preserve"> &lt;</w:t>
            </w:r>
            <w:r>
              <w:rPr>
                <w:b/>
                <w:i/>
                <w:noProof/>
              </w:rPr>
              <w:t> </w:t>
            </w:r>
            <w:r w:rsidRPr="00915112">
              <w:rPr>
                <w:b/>
                <w:i/>
                <w:noProof/>
              </w:rPr>
              <w:t>6</w:t>
            </w:r>
            <w:r>
              <w:rPr>
                <w:b/>
                <w:i/>
                <w:noProof/>
              </w:rPr>
              <w:t> Jahren</w:t>
            </w:r>
            <w:r w:rsidRPr="00915112">
              <w:rPr>
                <w:b/>
                <w:i/>
                <w:noProof/>
              </w:rPr>
              <w:t>:</w:t>
            </w:r>
          </w:p>
          <w:p w14:paraId="03BBE968" w14:textId="77777777" w:rsidR="00132C88" w:rsidRDefault="00132C88" w:rsidP="00D915A9">
            <w:r>
              <w:rPr>
                <w:noProof/>
              </w:rPr>
              <w:t xml:space="preserve">Die Hälfte der Puffer-Lösung wegschütten und entsorgen. (Hinweis: Für Kinder </w:t>
            </w:r>
            <w:r w:rsidR="008E2051">
              <w:rPr>
                <w:noProof/>
              </w:rPr>
              <w:t>ab</w:t>
            </w:r>
            <w:r>
              <w:rPr>
                <w:noProof/>
              </w:rPr>
              <w:t xml:space="preserve"> 6 Jahren und Erwachsene ist dieser Schritt NICHT erforderlich.</w:t>
            </w:r>
            <w:r w:rsidRPr="00915112">
              <w:rPr>
                <w:noProof/>
              </w:rPr>
              <w:t>)</w:t>
            </w:r>
          </w:p>
        </w:tc>
      </w:tr>
      <w:tr w:rsidR="008B7366" w14:paraId="3F9B68AD" w14:textId="77777777">
        <w:trPr>
          <w:cantSplit/>
        </w:trPr>
        <w:tc>
          <w:tcPr>
            <w:tcW w:w="1242" w:type="dxa"/>
            <w:tcBorders>
              <w:top w:val="single" w:sz="2" w:space="0" w:color="auto"/>
              <w:left w:val="single" w:sz="2" w:space="0" w:color="auto"/>
              <w:bottom w:val="single" w:sz="2" w:space="0" w:color="auto"/>
              <w:right w:val="nil"/>
            </w:tcBorders>
            <w:shd w:val="clear" w:color="auto" w:fill="auto"/>
          </w:tcPr>
          <w:p w14:paraId="27776F03" w14:textId="77777777" w:rsidR="008B7366" w:rsidRDefault="009866CA">
            <w:r>
              <w:t>Schritt </w:t>
            </w:r>
            <w:r w:rsidR="00132C88">
              <w:t>9</w:t>
            </w:r>
          </w:p>
        </w:tc>
        <w:tc>
          <w:tcPr>
            <w:tcW w:w="3686" w:type="dxa"/>
            <w:tcBorders>
              <w:top w:val="single" w:sz="2" w:space="0" w:color="auto"/>
              <w:left w:val="nil"/>
              <w:bottom w:val="single" w:sz="2" w:space="0" w:color="auto"/>
              <w:right w:val="nil"/>
            </w:tcBorders>
            <w:shd w:val="clear" w:color="auto" w:fill="auto"/>
          </w:tcPr>
          <w:p w14:paraId="2BEA978A" w14:textId="76BE3970" w:rsidR="008B7366" w:rsidRDefault="009C4D94">
            <w:pPr>
              <w:jc w:val="center"/>
            </w:pPr>
            <w:r>
              <w:rPr>
                <w:noProof/>
                <w:lang w:eastAsia="de-DE"/>
              </w:rPr>
              <w:drawing>
                <wp:inline distT="0" distB="0" distL="0" distR="0" wp14:anchorId="3D903C7E" wp14:editId="342E7EAB">
                  <wp:extent cx="1200785" cy="958850"/>
                  <wp:effectExtent l="0" t="0" r="0" b="0"/>
                  <wp:docPr id="10"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pic:cNvPicPr>
                            <a:picLocks noChangeAspect="1" noChangeArrowheads="1"/>
                          </pic:cNvPicPr>
                        </pic:nvPicPr>
                        <pic:blipFill>
                          <a:blip r:embed="rId21">
                            <a:extLst>
                              <a:ext uri="{28A0092B-C50C-407E-A947-70E740481C1C}">
                                <a14:useLocalDpi xmlns:a14="http://schemas.microsoft.com/office/drawing/2010/main" val="0"/>
                              </a:ext>
                            </a:extLst>
                          </a:blip>
                          <a:srcRect l="-2094" t="-57677" r="-2039" b="-44193"/>
                          <a:stretch>
                            <a:fillRect/>
                          </a:stretch>
                        </pic:blipFill>
                        <pic:spPr bwMode="auto">
                          <a:xfrm>
                            <a:off x="0" y="0"/>
                            <a:ext cx="1200785" cy="95885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shd w:val="clear" w:color="auto" w:fill="auto"/>
          </w:tcPr>
          <w:p w14:paraId="61C44D9E" w14:textId="647F6422" w:rsidR="008B7366" w:rsidRDefault="009866CA">
            <w:r>
              <w:t>Beutel</w:t>
            </w:r>
            <w:r w:rsidR="00083EB8">
              <w:t> </w:t>
            </w:r>
            <w:r>
              <w:t>2 oben mit einer Schere aufschneiden.</w:t>
            </w:r>
          </w:p>
          <w:p w14:paraId="42E280FD" w14:textId="77777777" w:rsidR="008B7366" w:rsidRDefault="008B7366"/>
          <w:p w14:paraId="067B348B" w14:textId="77777777" w:rsidR="008B7366" w:rsidRDefault="009866CA">
            <w:r>
              <w:t>Nicht die Finger in den Beutel stecken. Wenn Ihre Hände mit dem Inhalt des Beutels in Berührung gekommen sind, Hände waschen, um die Gefahr einer Kontamination zu verringern.</w:t>
            </w:r>
          </w:p>
        </w:tc>
      </w:tr>
      <w:tr w:rsidR="008B7366" w14:paraId="46A39FBF" w14:textId="77777777">
        <w:trPr>
          <w:cantSplit/>
          <w:trHeight w:val="2463"/>
        </w:trPr>
        <w:tc>
          <w:tcPr>
            <w:tcW w:w="1242" w:type="dxa"/>
            <w:tcBorders>
              <w:top w:val="single" w:sz="2" w:space="0" w:color="auto"/>
              <w:left w:val="single" w:sz="2" w:space="0" w:color="auto"/>
              <w:bottom w:val="single" w:sz="2" w:space="0" w:color="auto"/>
              <w:right w:val="nil"/>
            </w:tcBorders>
            <w:shd w:val="clear" w:color="auto" w:fill="auto"/>
          </w:tcPr>
          <w:p w14:paraId="480B86D2" w14:textId="77777777" w:rsidR="008B7366" w:rsidRDefault="009866CA">
            <w:r>
              <w:t>Schritt </w:t>
            </w:r>
            <w:r w:rsidR="00132C88">
              <w:t>10</w:t>
            </w:r>
          </w:p>
        </w:tc>
        <w:tc>
          <w:tcPr>
            <w:tcW w:w="3686" w:type="dxa"/>
            <w:tcBorders>
              <w:top w:val="single" w:sz="2" w:space="0" w:color="auto"/>
              <w:left w:val="nil"/>
              <w:bottom w:val="single" w:sz="2" w:space="0" w:color="auto"/>
              <w:right w:val="nil"/>
            </w:tcBorders>
            <w:shd w:val="clear" w:color="auto" w:fill="auto"/>
          </w:tcPr>
          <w:p w14:paraId="7D3FF52F" w14:textId="670A4902" w:rsidR="008B7366" w:rsidRDefault="009C4D94">
            <w:pPr>
              <w:jc w:val="center"/>
            </w:pPr>
            <w:r>
              <w:rPr>
                <w:noProof/>
                <w:lang w:eastAsia="de-DE"/>
              </w:rPr>
              <w:drawing>
                <wp:inline distT="0" distB="0" distL="0" distR="0" wp14:anchorId="616D71F5" wp14:editId="4E171841">
                  <wp:extent cx="1097280" cy="1369060"/>
                  <wp:effectExtent l="0" t="0" r="0" b="0"/>
                  <wp:docPr id="11"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
                          <pic:cNvPicPr>
                            <a:picLocks noChangeAspect="1" noChangeArrowheads="1"/>
                          </pic:cNvPicPr>
                        </pic:nvPicPr>
                        <pic:blipFill>
                          <a:blip r:embed="rId22">
                            <a:extLst>
                              <a:ext uri="{28A0092B-C50C-407E-A947-70E740481C1C}">
                                <a14:useLocalDpi xmlns:a14="http://schemas.microsoft.com/office/drawing/2010/main" val="0"/>
                              </a:ext>
                            </a:extLst>
                          </a:blip>
                          <a:srcRect l="-32121" r="-32793" b="-279"/>
                          <a:stretch>
                            <a:fillRect/>
                          </a:stretch>
                        </pic:blipFill>
                        <pic:spPr bwMode="auto">
                          <a:xfrm>
                            <a:off x="0" y="0"/>
                            <a:ext cx="1097280" cy="136906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shd w:val="clear" w:color="auto" w:fill="auto"/>
          </w:tcPr>
          <w:p w14:paraId="19AE168B" w14:textId="063165AA" w:rsidR="008B7366" w:rsidRDefault="009866CA">
            <w:r>
              <w:t>Den Inhalt von Beutel</w:t>
            </w:r>
            <w:r w:rsidR="00083EB8">
              <w:t> </w:t>
            </w:r>
            <w:r>
              <w:t>2 in den Becher geben.</w:t>
            </w:r>
          </w:p>
        </w:tc>
      </w:tr>
      <w:tr w:rsidR="008B7366" w14:paraId="58E78291" w14:textId="77777777">
        <w:trPr>
          <w:cantSplit/>
        </w:trPr>
        <w:tc>
          <w:tcPr>
            <w:tcW w:w="1242" w:type="dxa"/>
            <w:tcBorders>
              <w:top w:val="single" w:sz="2" w:space="0" w:color="auto"/>
              <w:left w:val="single" w:sz="2" w:space="0" w:color="auto"/>
              <w:bottom w:val="single" w:sz="2" w:space="0" w:color="auto"/>
              <w:right w:val="nil"/>
            </w:tcBorders>
            <w:shd w:val="clear" w:color="auto" w:fill="auto"/>
          </w:tcPr>
          <w:p w14:paraId="0E3446A5" w14:textId="77777777" w:rsidR="008B7366" w:rsidRDefault="009866CA">
            <w:r>
              <w:t>Schritt 1</w:t>
            </w:r>
            <w:r w:rsidR="00132C88">
              <w:t>1</w:t>
            </w:r>
          </w:p>
        </w:tc>
        <w:tc>
          <w:tcPr>
            <w:tcW w:w="3686" w:type="dxa"/>
            <w:tcBorders>
              <w:top w:val="single" w:sz="2" w:space="0" w:color="auto"/>
              <w:left w:val="nil"/>
              <w:bottom w:val="single" w:sz="2" w:space="0" w:color="auto"/>
              <w:right w:val="nil"/>
            </w:tcBorders>
            <w:shd w:val="clear" w:color="auto" w:fill="auto"/>
          </w:tcPr>
          <w:p w14:paraId="0686DCC5" w14:textId="446AA661" w:rsidR="008B7366" w:rsidRDefault="009C4D94">
            <w:pPr>
              <w:jc w:val="center"/>
            </w:pPr>
            <w:r>
              <w:rPr>
                <w:noProof/>
                <w:lang w:eastAsia="de-DE"/>
              </w:rPr>
              <w:drawing>
                <wp:inline distT="0" distB="0" distL="0" distR="0" wp14:anchorId="3EB9A915" wp14:editId="4A80A5EF">
                  <wp:extent cx="978535" cy="142875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8535" cy="142875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shd w:val="clear" w:color="auto" w:fill="auto"/>
          </w:tcPr>
          <w:p w14:paraId="7ED02736" w14:textId="3015E128" w:rsidR="008B7366" w:rsidRDefault="009866CA">
            <w:r>
              <w:t>Mindestens 30 Sekunden lang rühren. Das Pulver aus Beutel</w:t>
            </w:r>
            <w:r w:rsidR="00083EB8">
              <w:t> </w:t>
            </w:r>
            <w:r>
              <w:t>2 löst sich möglicherweise nicht vollständig auf. Es bildet eine leicht trübe Mischung mit wenigen weißen Partikeln.</w:t>
            </w:r>
          </w:p>
          <w:p w14:paraId="127D44EC" w14:textId="77777777" w:rsidR="008E2051" w:rsidRDefault="008E2051"/>
          <w:p w14:paraId="6AC9C06A" w14:textId="431B72F3" w:rsidR="008E2051" w:rsidRDefault="008E2051" w:rsidP="00D915A9">
            <w:r>
              <w:t xml:space="preserve">Falls gewünscht, kann, nachdem der Inhalt von Beutel 2 mindestens 30 Sekunden lang gerührt wurde, Stevia-Süßungsmittel (höchstens 1 Gramm bzw. </w:t>
            </w:r>
            <w:r w:rsidRPr="00E073A1">
              <w:t>¼</w:t>
            </w:r>
            <w:r>
              <w:t> Teelöffel) oder Zucker (</w:t>
            </w:r>
            <w:r w:rsidR="002C6B90">
              <w:rPr>
                <w:noProof/>
              </w:rPr>
              <w:t>Saccharose</w:t>
            </w:r>
            <w:r>
              <w:rPr>
                <w:noProof/>
              </w:rPr>
              <w:t xml:space="preserve">, höchstens </w:t>
            </w:r>
            <w:r>
              <w:t>4 Gramm bzw. 1 Teelöffel) in die Suspension eingerührt werden. Es dürfen KEINE anderen Süßungsmittel hinzugefügt werden, da diese die Wirksamkeit des Impfstoffs mindern könnten.</w:t>
            </w:r>
          </w:p>
        </w:tc>
      </w:tr>
      <w:tr w:rsidR="008B7366" w14:paraId="14B71665" w14:textId="77777777">
        <w:trPr>
          <w:cantSplit/>
        </w:trPr>
        <w:tc>
          <w:tcPr>
            <w:tcW w:w="1242" w:type="dxa"/>
            <w:tcBorders>
              <w:top w:val="single" w:sz="2" w:space="0" w:color="auto"/>
              <w:left w:val="single" w:sz="2" w:space="0" w:color="auto"/>
              <w:bottom w:val="single" w:sz="2" w:space="0" w:color="auto"/>
              <w:right w:val="nil"/>
            </w:tcBorders>
            <w:shd w:val="clear" w:color="auto" w:fill="auto"/>
          </w:tcPr>
          <w:p w14:paraId="4488C96B" w14:textId="77777777" w:rsidR="008B7366" w:rsidRDefault="009866CA">
            <w:r>
              <w:t>Schritt 1</w:t>
            </w:r>
            <w:r w:rsidR="00132C88">
              <w:t>2</w:t>
            </w:r>
          </w:p>
        </w:tc>
        <w:tc>
          <w:tcPr>
            <w:tcW w:w="3686" w:type="dxa"/>
            <w:tcBorders>
              <w:top w:val="single" w:sz="2" w:space="0" w:color="auto"/>
              <w:left w:val="nil"/>
              <w:bottom w:val="single" w:sz="2" w:space="0" w:color="auto"/>
              <w:right w:val="nil"/>
            </w:tcBorders>
            <w:shd w:val="clear" w:color="auto" w:fill="auto"/>
          </w:tcPr>
          <w:p w14:paraId="4EA3F86B" w14:textId="6070CE7F" w:rsidR="008B7366" w:rsidRDefault="009C4D94">
            <w:pPr>
              <w:jc w:val="center"/>
            </w:pPr>
            <w:r>
              <w:rPr>
                <w:noProof/>
                <w:lang w:eastAsia="de-DE"/>
              </w:rPr>
              <w:drawing>
                <wp:inline distT="0" distB="0" distL="0" distR="0" wp14:anchorId="739865BD" wp14:editId="2B4A677C">
                  <wp:extent cx="1601470" cy="1275080"/>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1470" cy="127508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shd w:val="clear" w:color="auto" w:fill="auto"/>
          </w:tcPr>
          <w:p w14:paraId="037E05F4" w14:textId="77777777" w:rsidR="008B7366" w:rsidRDefault="009866CA">
            <w:r>
              <w:t>Den Inhalt des Bechers innerhalb von 15 Minuten nach der Zubereitung vollständig trinken. Es kann sein, dass etwas von der Mischung im Becher verbleibt. Den Rest entsorgen.</w:t>
            </w:r>
            <w:r w:rsidR="00D915A9">
              <w:t xml:space="preserve"> Sollten Sie bzw. sollte Ihr Kind weniger als die Hälfte der Dosis eingenommen haben, wenden Sie sich unverzüglich an Ihren Arzt, Apotheker oder das medizinische Fachpersonal, um zu fragen, ob die Dosis wiederholt werden muss.</w:t>
            </w:r>
          </w:p>
        </w:tc>
      </w:tr>
      <w:tr w:rsidR="008B7366" w14:paraId="458DDB0F" w14:textId="77777777">
        <w:trPr>
          <w:cantSplit/>
          <w:trHeight w:val="3391"/>
        </w:trPr>
        <w:tc>
          <w:tcPr>
            <w:tcW w:w="1242" w:type="dxa"/>
            <w:tcBorders>
              <w:top w:val="single" w:sz="2" w:space="0" w:color="auto"/>
              <w:left w:val="single" w:sz="2" w:space="0" w:color="auto"/>
              <w:bottom w:val="single" w:sz="2" w:space="0" w:color="auto"/>
              <w:right w:val="nil"/>
            </w:tcBorders>
            <w:shd w:val="clear" w:color="auto" w:fill="auto"/>
          </w:tcPr>
          <w:p w14:paraId="4EE2CF5F" w14:textId="77777777" w:rsidR="008B7366" w:rsidRDefault="009866CA">
            <w:r>
              <w:lastRenderedPageBreak/>
              <w:t>Schritt 1</w:t>
            </w:r>
            <w:r w:rsidR="00D915A9">
              <w:t>3</w:t>
            </w:r>
          </w:p>
        </w:tc>
        <w:tc>
          <w:tcPr>
            <w:tcW w:w="3686" w:type="dxa"/>
            <w:tcBorders>
              <w:top w:val="single" w:sz="2" w:space="0" w:color="auto"/>
              <w:left w:val="nil"/>
              <w:bottom w:val="single" w:sz="2" w:space="0" w:color="auto"/>
              <w:right w:val="nil"/>
            </w:tcBorders>
            <w:shd w:val="clear" w:color="auto" w:fill="auto"/>
            <w:tcMar>
              <w:top w:w="28" w:type="dxa"/>
            </w:tcMar>
          </w:tcPr>
          <w:p w14:paraId="6E3A4F91" w14:textId="06DE0E35" w:rsidR="008B7366" w:rsidRDefault="009C4D94">
            <w:pPr>
              <w:jc w:val="center"/>
            </w:pPr>
            <w:r>
              <w:rPr>
                <w:noProof/>
                <w:lang w:eastAsia="de-DE"/>
              </w:rPr>
              <w:drawing>
                <wp:inline distT="0" distB="0" distL="0" distR="0" wp14:anchorId="3883FF11" wp14:editId="7A0AAEBA">
                  <wp:extent cx="1082675" cy="2041525"/>
                  <wp:effectExtent l="0" t="0" r="0" b="0"/>
                  <wp:docPr id="14"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2675" cy="2041525"/>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shd w:val="clear" w:color="auto" w:fill="auto"/>
          </w:tcPr>
          <w:p w14:paraId="4E0B68A2" w14:textId="77777777" w:rsidR="008B7366" w:rsidRDefault="009866CA">
            <w:r>
              <w:t>Die leeren Beutel in Übereinstimmungen mit den lokalen Richtlinien zur Biosicherheit entsorgen.</w:t>
            </w:r>
          </w:p>
          <w:p w14:paraId="26B9EB8A" w14:textId="526B906D" w:rsidR="008B7366" w:rsidRDefault="009866CA">
            <w:r>
              <w:t xml:space="preserve">Fragen Sie Ihren Arzt, Apotheker oder </w:t>
            </w:r>
            <w:r w:rsidR="001C779F">
              <w:t>das medizinische Fachpersonal</w:t>
            </w:r>
            <w:r>
              <w:t>, wie medizinische Abfälle entsorgt werden.</w:t>
            </w:r>
          </w:p>
        </w:tc>
      </w:tr>
      <w:tr w:rsidR="008B7366" w14:paraId="16DC0B0F" w14:textId="77777777">
        <w:trPr>
          <w:cantSplit/>
        </w:trPr>
        <w:tc>
          <w:tcPr>
            <w:tcW w:w="1242" w:type="dxa"/>
            <w:tcBorders>
              <w:top w:val="single" w:sz="2" w:space="0" w:color="auto"/>
              <w:left w:val="single" w:sz="2" w:space="0" w:color="auto"/>
              <w:bottom w:val="single" w:sz="2" w:space="0" w:color="auto"/>
              <w:right w:val="nil"/>
            </w:tcBorders>
            <w:shd w:val="clear" w:color="auto" w:fill="auto"/>
          </w:tcPr>
          <w:p w14:paraId="6E19A4B0" w14:textId="77777777" w:rsidR="008B7366" w:rsidRDefault="009866CA">
            <w:r>
              <w:t>Schritt 1</w:t>
            </w:r>
            <w:r w:rsidR="00D915A9">
              <w:t>4</w:t>
            </w:r>
          </w:p>
        </w:tc>
        <w:tc>
          <w:tcPr>
            <w:tcW w:w="3686" w:type="dxa"/>
            <w:tcBorders>
              <w:top w:val="single" w:sz="2" w:space="0" w:color="auto"/>
              <w:left w:val="nil"/>
              <w:bottom w:val="single" w:sz="2" w:space="0" w:color="auto"/>
              <w:right w:val="nil"/>
            </w:tcBorders>
            <w:shd w:val="clear" w:color="auto" w:fill="auto"/>
            <w:tcMar>
              <w:top w:w="28" w:type="dxa"/>
            </w:tcMar>
          </w:tcPr>
          <w:p w14:paraId="68CFF6C3" w14:textId="228D74DA" w:rsidR="008B7366" w:rsidRDefault="009C4D94">
            <w:pPr>
              <w:jc w:val="center"/>
            </w:pPr>
            <w:r>
              <w:rPr>
                <w:noProof/>
                <w:lang w:eastAsia="de-DE"/>
              </w:rPr>
              <w:drawing>
                <wp:inline distT="0" distB="0" distL="0" distR="0" wp14:anchorId="3ADD0F4F" wp14:editId="29CFC38B">
                  <wp:extent cx="1675765" cy="82042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75765" cy="82042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shd w:val="clear" w:color="auto" w:fill="auto"/>
          </w:tcPr>
          <w:p w14:paraId="0D3A7660" w14:textId="77777777" w:rsidR="008B7366" w:rsidRDefault="009866CA">
            <w:r>
              <w:t>Wenn beim Rühren oder Trinken des Arzneimittels etwas verschüttet wird oder sich Rückstände (Pulver oder Flüssigkeit, die vom Gegenstand zum Rühren, dem Becher oder einem anderen Gegenstand stammen) auf der Arbeitsfläche befinden, verschüttetes Material oder Rückstände vorzugsweise mit einem Einmal-Papiertuch/-Tuch sowie heißem Wasser und Seife oder einem antibakteriellen Desinfektionsmittel entfernen. Das Papiertuch zusammen mit den Beuteln entsorgen (siehe oben).</w:t>
            </w:r>
          </w:p>
        </w:tc>
      </w:tr>
      <w:tr w:rsidR="008B7366" w14:paraId="49D5EAFB" w14:textId="77777777">
        <w:trPr>
          <w:cantSplit/>
        </w:trPr>
        <w:tc>
          <w:tcPr>
            <w:tcW w:w="1242" w:type="dxa"/>
            <w:tcBorders>
              <w:top w:val="single" w:sz="2" w:space="0" w:color="auto"/>
              <w:left w:val="single" w:sz="2" w:space="0" w:color="auto"/>
              <w:bottom w:val="single" w:sz="2" w:space="0" w:color="auto"/>
              <w:right w:val="nil"/>
            </w:tcBorders>
            <w:shd w:val="clear" w:color="auto" w:fill="auto"/>
          </w:tcPr>
          <w:p w14:paraId="12A0EB2F" w14:textId="77777777" w:rsidR="008B7366" w:rsidRDefault="009866CA">
            <w:r>
              <w:t>Schritt 1</w:t>
            </w:r>
            <w:r w:rsidR="00D915A9">
              <w:t>5</w:t>
            </w:r>
          </w:p>
        </w:tc>
        <w:tc>
          <w:tcPr>
            <w:tcW w:w="3686" w:type="dxa"/>
            <w:tcBorders>
              <w:top w:val="single" w:sz="2" w:space="0" w:color="auto"/>
              <w:left w:val="nil"/>
              <w:bottom w:val="single" w:sz="2" w:space="0" w:color="auto"/>
              <w:right w:val="nil"/>
            </w:tcBorders>
            <w:shd w:val="clear" w:color="auto" w:fill="auto"/>
            <w:tcMar>
              <w:top w:w="28" w:type="dxa"/>
            </w:tcMar>
          </w:tcPr>
          <w:p w14:paraId="426B2E69" w14:textId="022D5681" w:rsidR="008B7366" w:rsidRDefault="009C4D94">
            <w:pPr>
              <w:jc w:val="center"/>
            </w:pPr>
            <w:r>
              <w:rPr>
                <w:noProof/>
                <w:lang w:eastAsia="de-DE"/>
              </w:rPr>
              <w:drawing>
                <wp:inline distT="0" distB="0" distL="0" distR="0" wp14:anchorId="4DA12543" wp14:editId="21603065">
                  <wp:extent cx="1354455" cy="179451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54455" cy="179451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shd w:val="clear" w:color="auto" w:fill="auto"/>
          </w:tcPr>
          <w:p w14:paraId="24E03ECC" w14:textId="3409F1B5" w:rsidR="008B7366" w:rsidRDefault="009866CA">
            <w:r>
              <w:t>Den Becher, den Löffel oder den Gegenstand zum Rühren mit Spülmittel und heißem Wasser spülen.</w:t>
            </w:r>
          </w:p>
        </w:tc>
      </w:tr>
      <w:tr w:rsidR="008B7366" w14:paraId="13C95DD9" w14:textId="77777777">
        <w:trPr>
          <w:cantSplit/>
          <w:trHeight w:val="2624"/>
        </w:trPr>
        <w:tc>
          <w:tcPr>
            <w:tcW w:w="1242" w:type="dxa"/>
            <w:tcBorders>
              <w:top w:val="single" w:sz="2" w:space="0" w:color="auto"/>
              <w:left w:val="single" w:sz="2" w:space="0" w:color="auto"/>
              <w:bottom w:val="single" w:sz="2" w:space="0" w:color="auto"/>
              <w:right w:val="nil"/>
            </w:tcBorders>
            <w:shd w:val="clear" w:color="auto" w:fill="auto"/>
          </w:tcPr>
          <w:p w14:paraId="2EA474FA" w14:textId="77777777" w:rsidR="008B7366" w:rsidRDefault="009866CA">
            <w:r>
              <w:t>Schritt 1</w:t>
            </w:r>
            <w:r w:rsidR="00D915A9">
              <w:t>6</w:t>
            </w:r>
          </w:p>
        </w:tc>
        <w:tc>
          <w:tcPr>
            <w:tcW w:w="3686" w:type="dxa"/>
            <w:tcBorders>
              <w:top w:val="single" w:sz="2" w:space="0" w:color="auto"/>
              <w:left w:val="nil"/>
              <w:bottom w:val="single" w:sz="2" w:space="0" w:color="auto"/>
              <w:right w:val="nil"/>
            </w:tcBorders>
            <w:shd w:val="clear" w:color="auto" w:fill="auto"/>
            <w:tcMar>
              <w:top w:w="28" w:type="dxa"/>
            </w:tcMar>
          </w:tcPr>
          <w:p w14:paraId="762873D5" w14:textId="1A0E504A" w:rsidR="008B7366" w:rsidRDefault="009C4D94">
            <w:pPr>
              <w:jc w:val="center"/>
            </w:pPr>
            <w:r>
              <w:rPr>
                <w:noProof/>
                <w:lang w:eastAsia="de-DE"/>
              </w:rPr>
              <w:drawing>
                <wp:inline distT="0" distB="0" distL="0" distR="0" wp14:anchorId="3A1F53D5" wp14:editId="2E94B5C7">
                  <wp:extent cx="1141730" cy="160147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1730" cy="160147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shd w:val="clear" w:color="auto" w:fill="auto"/>
          </w:tcPr>
          <w:p w14:paraId="08F0AA7E" w14:textId="77777777" w:rsidR="008B7366" w:rsidRDefault="009866CA">
            <w:r>
              <w:t>Die Hände gründlich mit Seife und heißem Wasser waschen, um eine Kontamination zu vermeiden.</w:t>
            </w:r>
          </w:p>
        </w:tc>
      </w:tr>
    </w:tbl>
    <w:p w14:paraId="2F21F88B" w14:textId="77777777" w:rsidR="008B7366" w:rsidRDefault="008B7366"/>
    <w:p w14:paraId="114181B2" w14:textId="77777777" w:rsidR="008B7366" w:rsidRDefault="009866CA">
      <w:r>
        <w:t>Wenn Sie weitere Fragen zur Anwendung dieses Arzneimittels haben, wenden Sie sich an Ihren Arzt, Apotheker oder das medizinische Fachpersonal.</w:t>
      </w:r>
    </w:p>
    <w:p w14:paraId="1919526C" w14:textId="77777777" w:rsidR="008B7366" w:rsidRDefault="008B7366"/>
    <w:p w14:paraId="7B7BBB05" w14:textId="77777777" w:rsidR="008B7366" w:rsidRDefault="008B7366"/>
    <w:p w14:paraId="54C29B16" w14:textId="77777777" w:rsidR="008B7366" w:rsidRDefault="009866CA">
      <w:pPr>
        <w:pStyle w:val="Heading1"/>
      </w:pPr>
      <w:r>
        <w:t>4.</w:t>
      </w:r>
      <w:r>
        <w:tab/>
        <w:t>Welche Nebenwirkungen sind möglich?</w:t>
      </w:r>
    </w:p>
    <w:p w14:paraId="48C486F7" w14:textId="77777777" w:rsidR="008B7366" w:rsidRDefault="008B7366">
      <w:pPr>
        <w:keepNext/>
      </w:pPr>
    </w:p>
    <w:p w14:paraId="367A81C1" w14:textId="77777777" w:rsidR="008B7366" w:rsidRDefault="009866CA">
      <w:r>
        <w:t>Wie alle Impfstoffe kann auch dieser Impfstoff Nebenwirkungen haben, die aber nicht bei jedem auftreten müssen.</w:t>
      </w:r>
    </w:p>
    <w:p w14:paraId="14D0A2A8" w14:textId="77777777" w:rsidR="008B7366" w:rsidRDefault="008B7366"/>
    <w:p w14:paraId="22FCBCD5" w14:textId="77777777" w:rsidR="008B7366" w:rsidRDefault="009866CA">
      <w:r>
        <w:t>Informieren Sie unverzüglich Ihren Arzt, wenn bei Ihnen die folgenden schwerwiegenden Nebenwirkungen auftreten:</w:t>
      </w:r>
    </w:p>
    <w:p w14:paraId="54E4FAE3" w14:textId="039077B9" w:rsidR="008B7366" w:rsidRDefault="009866CA" w:rsidP="00B24860">
      <w:pPr>
        <w:pStyle w:val="Bullet"/>
        <w:ind w:left="567" w:hanging="567"/>
      </w:pPr>
      <w:r>
        <w:t xml:space="preserve">schwerwiegende allergische Reaktionen, die zu Schwellungen im Gesicht oder Rachen, zu Quaddeln, zu juckendem Ausschlag, zu </w:t>
      </w:r>
      <w:r w:rsidR="00233D6D">
        <w:t xml:space="preserve">Atemlosigkeit </w:t>
      </w:r>
      <w:r>
        <w:t>und/oder einem Abfall des Blutdrucks sowie Bewusstlosigkeit führen.</w:t>
      </w:r>
    </w:p>
    <w:p w14:paraId="6F79C98D" w14:textId="77777777" w:rsidR="008B7366" w:rsidRDefault="008B7366"/>
    <w:p w14:paraId="2E36266D" w14:textId="77777777" w:rsidR="008B7366" w:rsidRDefault="009866CA">
      <w:pPr>
        <w:keepNext/>
      </w:pPr>
      <w:r>
        <w:t>Weitere Nebenwirkungen:</w:t>
      </w:r>
    </w:p>
    <w:p w14:paraId="6E6CF558" w14:textId="53035B9A" w:rsidR="008B7366" w:rsidRDefault="009866CA">
      <w:pPr>
        <w:keepNext/>
      </w:pPr>
      <w:r>
        <w:t>Sehr häufig</w:t>
      </w:r>
      <w:r w:rsidR="006D347B">
        <w:t xml:space="preserve">: </w:t>
      </w:r>
      <w:r>
        <w:t>(</w:t>
      </w:r>
      <w:r w:rsidR="006D347B">
        <w:t xml:space="preserve">kann </w:t>
      </w:r>
      <w:r w:rsidR="00F478C8">
        <w:t xml:space="preserve">mehr als </w:t>
      </w:r>
      <w:r>
        <w:t>1 von 10</w:t>
      </w:r>
      <w:r w:rsidR="005D3421">
        <w:t> </w:t>
      </w:r>
      <w:r w:rsidR="00900330">
        <w:t xml:space="preserve">Behandelten </w:t>
      </w:r>
      <w:r>
        <w:t>betreffen)</w:t>
      </w:r>
    </w:p>
    <w:p w14:paraId="467FBB3F" w14:textId="77777777" w:rsidR="007C6A08" w:rsidRDefault="007C6A08" w:rsidP="00B24860">
      <w:pPr>
        <w:pStyle w:val="Bullet"/>
        <w:ind w:left="567" w:hanging="567"/>
      </w:pPr>
      <w:r>
        <w:t>Müdigkeit</w:t>
      </w:r>
    </w:p>
    <w:p w14:paraId="650D1153" w14:textId="77777777" w:rsidR="008B7366" w:rsidRDefault="009866CA" w:rsidP="00B24860">
      <w:pPr>
        <w:pStyle w:val="Bullet"/>
        <w:keepNext/>
        <w:ind w:left="567" w:hanging="567"/>
      </w:pPr>
      <w:r>
        <w:t>Kopfschmerz</w:t>
      </w:r>
    </w:p>
    <w:p w14:paraId="415E8DC5" w14:textId="77777777" w:rsidR="008B7366" w:rsidRDefault="009866CA" w:rsidP="00B24860">
      <w:pPr>
        <w:pStyle w:val="Bullet"/>
        <w:keepNext/>
        <w:ind w:left="567" w:hanging="567"/>
      </w:pPr>
      <w:r>
        <w:t>Magenschmerzen</w:t>
      </w:r>
    </w:p>
    <w:p w14:paraId="637198A1" w14:textId="584DAAAE" w:rsidR="008B7366" w:rsidRDefault="00D64CCB" w:rsidP="00B24860">
      <w:pPr>
        <w:pStyle w:val="Bullet"/>
        <w:keepNext/>
        <w:ind w:left="567" w:hanging="567"/>
      </w:pPr>
      <w:r>
        <w:t>Übelkeit oder Erbrechen</w:t>
      </w:r>
    </w:p>
    <w:p w14:paraId="17F93F11" w14:textId="3699B113" w:rsidR="008B7366" w:rsidRDefault="001B2525" w:rsidP="00B24860">
      <w:pPr>
        <w:pStyle w:val="Bullet"/>
        <w:keepNext/>
        <w:ind w:left="567" w:hanging="567"/>
      </w:pPr>
      <w:r>
        <w:t xml:space="preserve">verminderter </w:t>
      </w:r>
      <w:r w:rsidR="009866CA">
        <w:t>Appetit</w:t>
      </w:r>
    </w:p>
    <w:p w14:paraId="0E13663E" w14:textId="77777777" w:rsidR="008B7366" w:rsidRDefault="008B7366" w:rsidP="00B24860"/>
    <w:p w14:paraId="194619B7" w14:textId="363C0E84" w:rsidR="008B7366" w:rsidRDefault="009866CA">
      <w:pPr>
        <w:keepNext/>
      </w:pPr>
      <w:r>
        <w:t>Häufig</w:t>
      </w:r>
      <w:r w:rsidR="006D347B">
        <w:t>:</w:t>
      </w:r>
      <w:r>
        <w:t xml:space="preserve"> (</w:t>
      </w:r>
      <w:r w:rsidR="006D347B">
        <w:t xml:space="preserve">kann </w:t>
      </w:r>
      <w:r>
        <w:t>bis zu 1 von 10</w:t>
      </w:r>
      <w:r w:rsidR="00623CD7">
        <w:t> Behandelten</w:t>
      </w:r>
      <w:r>
        <w:t xml:space="preserve"> betreffen)</w:t>
      </w:r>
    </w:p>
    <w:p w14:paraId="31553602" w14:textId="77777777" w:rsidR="008B7366" w:rsidRDefault="009866CA" w:rsidP="00B24860">
      <w:pPr>
        <w:pStyle w:val="Bullet"/>
        <w:ind w:left="567" w:hanging="567"/>
      </w:pPr>
      <w:r>
        <w:t>Durchfall</w:t>
      </w:r>
    </w:p>
    <w:p w14:paraId="2D05AADE" w14:textId="77777777" w:rsidR="008B7366" w:rsidRDefault="008B7366"/>
    <w:p w14:paraId="4D78CCB5" w14:textId="4BF17347" w:rsidR="008B7366" w:rsidRDefault="009866CA">
      <w:pPr>
        <w:keepNext/>
      </w:pPr>
      <w:r>
        <w:t>Gelegentlich</w:t>
      </w:r>
      <w:r w:rsidR="006D347B">
        <w:t>:</w:t>
      </w:r>
      <w:r>
        <w:t xml:space="preserve"> (</w:t>
      </w:r>
      <w:r w:rsidR="006D347B">
        <w:t xml:space="preserve">kann </w:t>
      </w:r>
      <w:r>
        <w:t xml:space="preserve">bis zu 1 von </w:t>
      </w:r>
      <w:r w:rsidR="00F478C8">
        <w:t>100</w:t>
      </w:r>
      <w:r w:rsidR="00623CD7">
        <w:t> Behandelten</w:t>
      </w:r>
      <w:r>
        <w:t xml:space="preserve"> betreffen)</w:t>
      </w:r>
    </w:p>
    <w:p w14:paraId="2D160046" w14:textId="77777777" w:rsidR="005D2A0F" w:rsidRDefault="005D2A0F" w:rsidP="00B24860">
      <w:pPr>
        <w:pStyle w:val="Bullet"/>
        <w:ind w:left="567" w:hanging="567"/>
      </w:pPr>
      <w:r>
        <w:t>Fieber</w:t>
      </w:r>
    </w:p>
    <w:p w14:paraId="0BF61105" w14:textId="77777777" w:rsidR="00BE7D36" w:rsidRDefault="00BE7D36" w:rsidP="00B24860">
      <w:pPr>
        <w:pStyle w:val="Bullet"/>
        <w:ind w:left="567" w:hanging="567"/>
      </w:pPr>
      <w:r>
        <w:t>Gelenkschmerz</w:t>
      </w:r>
    </w:p>
    <w:p w14:paraId="5A899660" w14:textId="77777777" w:rsidR="00BE7D36" w:rsidRDefault="00BE7D36" w:rsidP="00B24860">
      <w:pPr>
        <w:pStyle w:val="Bullet"/>
        <w:ind w:left="567" w:hanging="567"/>
      </w:pPr>
      <w:r>
        <w:t>Schwindelgefühl</w:t>
      </w:r>
    </w:p>
    <w:p w14:paraId="45CD3AA6" w14:textId="47B7C965" w:rsidR="00BE7D36" w:rsidRDefault="00BE7D36" w:rsidP="00B24860">
      <w:pPr>
        <w:pStyle w:val="Bullet"/>
        <w:ind w:left="567" w:hanging="567"/>
      </w:pPr>
      <w:r>
        <w:t>Blähungen (</w:t>
      </w:r>
      <w:r w:rsidR="003D11EF">
        <w:t>Bauch aufgetrieben</w:t>
      </w:r>
      <w:r>
        <w:t>)</w:t>
      </w:r>
    </w:p>
    <w:p w14:paraId="70863106" w14:textId="77777777" w:rsidR="00BE7D36" w:rsidRDefault="00BE7D36" w:rsidP="00B24860">
      <w:pPr>
        <w:pStyle w:val="Bullet"/>
        <w:ind w:left="567" w:hanging="567"/>
      </w:pPr>
      <w:r>
        <w:t>Ausschlag</w:t>
      </w:r>
    </w:p>
    <w:p w14:paraId="365A6DE1" w14:textId="77777777" w:rsidR="00C273E7" w:rsidRDefault="00C273E7" w:rsidP="00B24860">
      <w:pPr>
        <w:pStyle w:val="Bullet"/>
        <w:ind w:left="567" w:hanging="567"/>
      </w:pPr>
      <w:r>
        <w:t>Mundtrockenheit</w:t>
      </w:r>
    </w:p>
    <w:p w14:paraId="671541C3" w14:textId="77777777" w:rsidR="00C273E7" w:rsidRDefault="00C273E7" w:rsidP="00B24860">
      <w:pPr>
        <w:pStyle w:val="Bullet"/>
        <w:ind w:left="567" w:hanging="567"/>
      </w:pPr>
      <w:r>
        <w:t>Verstopfung</w:t>
      </w:r>
    </w:p>
    <w:p w14:paraId="2E520F3A" w14:textId="22EB0470" w:rsidR="008B7366" w:rsidRDefault="009866CA" w:rsidP="00B24860">
      <w:pPr>
        <w:pStyle w:val="Bullet"/>
        <w:ind w:left="567" w:hanging="567"/>
      </w:pPr>
      <w:r>
        <w:t>Flatulenz</w:t>
      </w:r>
    </w:p>
    <w:p w14:paraId="15491475" w14:textId="77777777" w:rsidR="00C273E7" w:rsidRDefault="00C273E7" w:rsidP="00B24860">
      <w:pPr>
        <w:pStyle w:val="Bullet"/>
        <w:ind w:left="567" w:hanging="567"/>
      </w:pPr>
      <w:r>
        <w:t>Aufstoßen</w:t>
      </w:r>
    </w:p>
    <w:p w14:paraId="3297C656" w14:textId="70B61024" w:rsidR="008B7366" w:rsidRDefault="00A96656" w:rsidP="00B24860">
      <w:pPr>
        <w:pStyle w:val="Bullet"/>
        <w:ind w:left="567" w:hanging="567"/>
      </w:pPr>
      <w:r>
        <w:t>Indigestion (</w:t>
      </w:r>
      <w:r w:rsidR="009866CA">
        <w:t>Verdauungsbeschwerden</w:t>
      </w:r>
      <w:r>
        <w:t>)</w:t>
      </w:r>
    </w:p>
    <w:p w14:paraId="03A0956E" w14:textId="77777777" w:rsidR="008B7366" w:rsidRDefault="009866CA" w:rsidP="00B24860">
      <w:pPr>
        <w:pStyle w:val="Bullet"/>
        <w:ind w:left="567" w:hanging="567"/>
      </w:pPr>
      <w:r>
        <w:t>Stuhlveränderung</w:t>
      </w:r>
    </w:p>
    <w:p w14:paraId="65B77A5A" w14:textId="77777777" w:rsidR="008B7366" w:rsidRDefault="008B7366"/>
    <w:p w14:paraId="4ADDA90F" w14:textId="76E8AC75" w:rsidR="008B7366" w:rsidRDefault="009866CA">
      <w:pPr>
        <w:keepNext/>
      </w:pPr>
      <w:r>
        <w:t>Selten</w:t>
      </w:r>
      <w:r w:rsidR="006D347B">
        <w:t>:</w:t>
      </w:r>
      <w:r>
        <w:t xml:space="preserve"> (</w:t>
      </w:r>
      <w:r w:rsidR="006D347B">
        <w:t xml:space="preserve">kann </w:t>
      </w:r>
      <w:r>
        <w:t>bis zu 1 von 1</w:t>
      </w:r>
      <w:r w:rsidR="00623CD7">
        <w:t> </w:t>
      </w:r>
      <w:r w:rsidR="00F478C8">
        <w:t>000</w:t>
      </w:r>
      <w:r w:rsidR="00623CD7">
        <w:t> Behandelten</w:t>
      </w:r>
      <w:r>
        <w:t xml:space="preserve"> betreffen):</w:t>
      </w:r>
    </w:p>
    <w:p w14:paraId="34AB8089" w14:textId="77777777" w:rsidR="008B7366" w:rsidRDefault="009866CA" w:rsidP="00B24860">
      <w:pPr>
        <w:pStyle w:val="Bullet"/>
        <w:ind w:left="567" w:hanging="567"/>
      </w:pPr>
      <w:r>
        <w:t>Schüttelfrost</w:t>
      </w:r>
    </w:p>
    <w:p w14:paraId="326EEAAD" w14:textId="77777777" w:rsidR="008B7366" w:rsidRDefault="008B7366"/>
    <w:p w14:paraId="66352E57" w14:textId="43478C28" w:rsidR="001179B3" w:rsidRDefault="001179B3">
      <w:r w:rsidRPr="00C119D8">
        <w:rPr>
          <w:b/>
        </w:rPr>
        <w:t>Zusätzliche Nebenwirkungen bei Kindern und Jugendlichen</w:t>
      </w:r>
    </w:p>
    <w:p w14:paraId="5A4A2677" w14:textId="0B44798E" w:rsidR="001179B3" w:rsidRDefault="00893208">
      <w:r w:rsidRPr="00893208">
        <w:t xml:space="preserve">Auf der Grundlage klinischer Studien ist davon auszugehen, dass die Art der Nebenwirkungen bei </w:t>
      </w:r>
      <w:proofErr w:type="gramStart"/>
      <w:r w:rsidRPr="00893208">
        <w:t>Kindern</w:t>
      </w:r>
      <w:proofErr w:type="gramEnd"/>
      <w:r w:rsidRPr="00893208">
        <w:t xml:space="preserve"> denen bei Erwachsenen ähnlich ist. Einige Nebenwirkungen traten bei Kindern häufiger auf als bei Erwachsenen, z.</w:t>
      </w:r>
      <w:r w:rsidR="00C82BDF">
        <w:t> </w:t>
      </w:r>
      <w:r w:rsidRPr="00893208">
        <w:t>B. Müdigkeit, Magenschmerz, Erbrechen, Appetitlosigkeit und Fieber.</w:t>
      </w:r>
    </w:p>
    <w:p w14:paraId="09489045" w14:textId="77777777" w:rsidR="00893208" w:rsidRDefault="00893208"/>
    <w:p w14:paraId="642DBFB2" w14:textId="77777777" w:rsidR="008B7366" w:rsidRDefault="009866CA">
      <w:pPr>
        <w:pStyle w:val="HeadingStrong"/>
      </w:pPr>
      <w:r>
        <w:t>Meldung von Nebenwirkungen</w:t>
      </w:r>
    </w:p>
    <w:p w14:paraId="4A1FE921" w14:textId="7A32320F" w:rsidR="008B7366" w:rsidRDefault="009866CA">
      <w:r>
        <w:t>Wenn Sie Nebenwirkungen bemerken, wenden Sie sich an Ihren Arzt, Apotheker oder das medizinische Fachpersonal. Dies gilt auch für Nebenwirkungen, die nicht in dieser Packungsbeilage angegeben sind. Sie können Nebenwirkungen auch direkt anzeigen</w:t>
      </w:r>
      <w:r w:rsidR="00A07F52">
        <w:t xml:space="preserve"> </w:t>
      </w:r>
      <w:r w:rsidR="00A07F52" w:rsidRPr="00A07F52">
        <w:t>(nähere Angaben siehe unten)</w:t>
      </w:r>
      <w:r>
        <w:t>. Indem Sie Nebenwirkungen melden, können Sie dazu beitragen, dass mehr Informationen über die Sicherheit dieses Arzneimittels zur Verfügung gestellt werden.</w:t>
      </w:r>
    </w:p>
    <w:p w14:paraId="453F6C2F" w14:textId="77777777" w:rsidR="008B7366" w:rsidRDefault="008B7366"/>
    <w:p w14:paraId="5C9817E8" w14:textId="77777777" w:rsidR="00A07F52" w:rsidRPr="00A07F52" w:rsidRDefault="00A07F52" w:rsidP="00A07F52">
      <w:pPr>
        <w:rPr>
          <w:lang w:val="de-CH"/>
        </w:rPr>
      </w:pPr>
      <w:r w:rsidRPr="00A07F52">
        <w:rPr>
          <w:b/>
          <w:bCs/>
          <w:lang w:val="de-CH"/>
        </w:rPr>
        <w:t>Deutschland</w:t>
      </w:r>
    </w:p>
    <w:p w14:paraId="51D9FF43" w14:textId="77777777" w:rsidR="00A07F52" w:rsidRPr="00A07F52" w:rsidRDefault="00A07F52" w:rsidP="00A07F52">
      <w:pPr>
        <w:rPr>
          <w:lang w:val="de-CH"/>
        </w:rPr>
      </w:pPr>
      <w:r w:rsidRPr="00A07F52">
        <w:rPr>
          <w:lang w:val="de-CH"/>
        </w:rPr>
        <w:t>Bundesinstitut für Impfstoffe und biomedizinische Arzneimittel</w:t>
      </w:r>
    </w:p>
    <w:p w14:paraId="3322A154" w14:textId="77777777" w:rsidR="00A07F52" w:rsidRPr="00A07F52" w:rsidRDefault="00A07F52" w:rsidP="00A07F52">
      <w:pPr>
        <w:rPr>
          <w:lang w:val="de-CH"/>
        </w:rPr>
      </w:pPr>
      <w:r w:rsidRPr="00A07F52">
        <w:rPr>
          <w:lang w:val="de-CH"/>
        </w:rPr>
        <w:t>Paul-Ehrlich-Institut</w:t>
      </w:r>
    </w:p>
    <w:p w14:paraId="5293F43F" w14:textId="77777777" w:rsidR="00A07F52" w:rsidRPr="00A07F52" w:rsidRDefault="00A07F52" w:rsidP="00A07F52">
      <w:pPr>
        <w:rPr>
          <w:lang w:val="de-CH"/>
        </w:rPr>
      </w:pPr>
      <w:r w:rsidRPr="00A07F52">
        <w:rPr>
          <w:lang w:val="de-CH"/>
        </w:rPr>
        <w:t>Paul-Ehrlich-Str. 51-59</w:t>
      </w:r>
    </w:p>
    <w:p w14:paraId="110E01D6" w14:textId="77777777" w:rsidR="00A07F52" w:rsidRPr="00A07F52" w:rsidRDefault="00A07F52" w:rsidP="00A07F52">
      <w:pPr>
        <w:rPr>
          <w:lang w:val="de-CH"/>
        </w:rPr>
      </w:pPr>
      <w:r w:rsidRPr="00A07F52">
        <w:rPr>
          <w:lang w:val="de-CH"/>
        </w:rPr>
        <w:t>63225 Langen</w:t>
      </w:r>
    </w:p>
    <w:p w14:paraId="61692643" w14:textId="77777777" w:rsidR="00A07F52" w:rsidRPr="00A07F52" w:rsidRDefault="00A07F52" w:rsidP="00A07F52">
      <w:pPr>
        <w:rPr>
          <w:lang w:val="de-CH"/>
        </w:rPr>
      </w:pPr>
      <w:r w:rsidRPr="00A07F52">
        <w:rPr>
          <w:lang w:val="de-CH"/>
        </w:rPr>
        <w:t>Tel: +49 6103 77 0</w:t>
      </w:r>
    </w:p>
    <w:p w14:paraId="19EDC909" w14:textId="77777777" w:rsidR="00A07F52" w:rsidRPr="00A07F52" w:rsidRDefault="00A07F52" w:rsidP="00A07F52">
      <w:pPr>
        <w:rPr>
          <w:lang w:val="de-CH"/>
        </w:rPr>
      </w:pPr>
      <w:r w:rsidRPr="00A07F52">
        <w:rPr>
          <w:lang w:val="de-CH"/>
        </w:rPr>
        <w:t>Fax: +49 6103 77 1234</w:t>
      </w:r>
    </w:p>
    <w:p w14:paraId="524618F0" w14:textId="77777777" w:rsidR="00A07F52" w:rsidRPr="00A07F52" w:rsidRDefault="00A07F52" w:rsidP="00A07F52">
      <w:pPr>
        <w:rPr>
          <w:lang w:val="de-CH"/>
        </w:rPr>
      </w:pPr>
      <w:r w:rsidRPr="00A07F52">
        <w:rPr>
          <w:lang w:val="de-CH"/>
        </w:rPr>
        <w:t xml:space="preserve">Website: </w:t>
      </w:r>
      <w:hyperlink r:id="rId29" w:history="1">
        <w:r w:rsidRPr="00A07F52">
          <w:rPr>
            <w:rStyle w:val="Hyperlink"/>
            <w:lang w:val="de-CH"/>
          </w:rPr>
          <w:t>www.pei.de</w:t>
        </w:r>
      </w:hyperlink>
    </w:p>
    <w:p w14:paraId="74409077" w14:textId="77777777" w:rsidR="00A07F52" w:rsidRDefault="00A07F52" w:rsidP="00A07F52">
      <w:pPr>
        <w:rPr>
          <w:u w:val="single"/>
          <w:lang w:val="de-CH"/>
        </w:rPr>
      </w:pPr>
    </w:p>
    <w:p w14:paraId="7CDB3457" w14:textId="1AEC3F2E" w:rsidR="00A07F52" w:rsidRPr="00A07F52" w:rsidRDefault="00A07F52" w:rsidP="00A07F52">
      <w:pPr>
        <w:rPr>
          <w:lang w:val="de-CH"/>
        </w:rPr>
      </w:pPr>
      <w:r w:rsidRPr="00A07F52">
        <w:rPr>
          <w:b/>
          <w:bCs/>
          <w:lang w:val="de-CH"/>
        </w:rPr>
        <w:t>Österreich</w:t>
      </w:r>
    </w:p>
    <w:p w14:paraId="0073DFCD" w14:textId="77777777" w:rsidR="00A07F52" w:rsidRPr="00A07F52" w:rsidRDefault="00A07F52" w:rsidP="00A07F52">
      <w:pPr>
        <w:rPr>
          <w:lang w:val="de-CH"/>
        </w:rPr>
      </w:pPr>
      <w:r w:rsidRPr="00A07F52">
        <w:rPr>
          <w:lang w:val="de-CH"/>
        </w:rPr>
        <w:t>Bundesamt für Sicherheit im Gesundheitswesen</w:t>
      </w:r>
    </w:p>
    <w:p w14:paraId="785D680D" w14:textId="77777777" w:rsidR="00A07F52" w:rsidRPr="00A07F52" w:rsidRDefault="00A07F52" w:rsidP="00A07F52">
      <w:pPr>
        <w:rPr>
          <w:lang w:val="de-CH"/>
        </w:rPr>
      </w:pPr>
      <w:proofErr w:type="spellStart"/>
      <w:r w:rsidRPr="00A07F52">
        <w:rPr>
          <w:lang w:val="de-CH"/>
        </w:rPr>
        <w:lastRenderedPageBreak/>
        <w:t>Traisengasse</w:t>
      </w:r>
      <w:proofErr w:type="spellEnd"/>
      <w:r w:rsidRPr="00A07F52">
        <w:rPr>
          <w:lang w:val="de-CH"/>
        </w:rPr>
        <w:t xml:space="preserve"> 5</w:t>
      </w:r>
    </w:p>
    <w:p w14:paraId="326DBDD9" w14:textId="77777777" w:rsidR="00A07F52" w:rsidRPr="00A07F52" w:rsidRDefault="00A07F52" w:rsidP="00A07F52">
      <w:pPr>
        <w:rPr>
          <w:lang w:val="de-CH"/>
        </w:rPr>
      </w:pPr>
      <w:r w:rsidRPr="00A07F52">
        <w:rPr>
          <w:lang w:val="de-CH"/>
        </w:rPr>
        <w:t>1200 WIEN</w:t>
      </w:r>
    </w:p>
    <w:p w14:paraId="37190E44" w14:textId="77777777" w:rsidR="00A07F52" w:rsidRPr="00A07F52" w:rsidRDefault="00A07F52" w:rsidP="00A07F52">
      <w:pPr>
        <w:rPr>
          <w:lang w:val="de-CH"/>
        </w:rPr>
      </w:pPr>
      <w:r w:rsidRPr="00A07F52">
        <w:rPr>
          <w:lang w:val="de-CH"/>
        </w:rPr>
        <w:t>ÖSTERREICH</w:t>
      </w:r>
    </w:p>
    <w:p w14:paraId="574517C6" w14:textId="77777777" w:rsidR="00A07F52" w:rsidRPr="00A07F52" w:rsidRDefault="00A07F52" w:rsidP="00A07F52">
      <w:pPr>
        <w:rPr>
          <w:lang w:val="de-CH"/>
        </w:rPr>
      </w:pPr>
      <w:r w:rsidRPr="00A07F52">
        <w:rPr>
          <w:lang w:val="de-CH"/>
        </w:rPr>
        <w:t>Fax: + 43 (0) 50 555 36207</w:t>
      </w:r>
    </w:p>
    <w:p w14:paraId="7D9CE89B" w14:textId="5939E4B0" w:rsidR="00A07F52" w:rsidRDefault="00A07F52">
      <w:pPr>
        <w:rPr>
          <w:lang w:val="de-CH"/>
        </w:rPr>
      </w:pPr>
      <w:r w:rsidRPr="00A07F52">
        <w:rPr>
          <w:lang w:val="de-CH"/>
        </w:rPr>
        <w:t xml:space="preserve">Website: </w:t>
      </w:r>
      <w:hyperlink r:id="rId30" w:history="1">
        <w:r w:rsidRPr="00A07F52">
          <w:rPr>
            <w:rStyle w:val="Hyperlink"/>
            <w:lang w:val="de-CH"/>
          </w:rPr>
          <w:t>http://www.basg.gv.at/</w:t>
        </w:r>
      </w:hyperlink>
    </w:p>
    <w:p w14:paraId="37120A24" w14:textId="77777777" w:rsidR="00A07F52" w:rsidRPr="00A07F52" w:rsidRDefault="00A07F52">
      <w:pPr>
        <w:rPr>
          <w:lang w:val="de-CH"/>
        </w:rPr>
      </w:pPr>
    </w:p>
    <w:p w14:paraId="2D260EB5" w14:textId="77777777" w:rsidR="008B7366" w:rsidRDefault="008B7366"/>
    <w:p w14:paraId="280F021C" w14:textId="77777777" w:rsidR="008B7366" w:rsidRDefault="009866CA">
      <w:pPr>
        <w:pStyle w:val="Heading1"/>
      </w:pPr>
      <w:r>
        <w:t>5.</w:t>
      </w:r>
      <w:r>
        <w:tab/>
        <w:t xml:space="preserve">Wie ist </w:t>
      </w:r>
      <w:proofErr w:type="spellStart"/>
      <w:r>
        <w:t>Vaxchora</w:t>
      </w:r>
      <w:proofErr w:type="spellEnd"/>
      <w:r>
        <w:t xml:space="preserve"> aufzubewahren?</w:t>
      </w:r>
    </w:p>
    <w:p w14:paraId="62D0A32B" w14:textId="77777777" w:rsidR="008B7366" w:rsidRDefault="008B7366">
      <w:pPr>
        <w:keepNext/>
      </w:pPr>
    </w:p>
    <w:p w14:paraId="79108EE5" w14:textId="77777777" w:rsidR="008B7366" w:rsidRDefault="009866CA">
      <w:r>
        <w:t>Bewahren Sie diesen Impfstoff für Kinder unzugänglich auf.</w:t>
      </w:r>
    </w:p>
    <w:p w14:paraId="0B46E513" w14:textId="77777777" w:rsidR="008B7366" w:rsidRDefault="008B7366"/>
    <w:p w14:paraId="39CEC360" w14:textId="623A58B6" w:rsidR="008B7366" w:rsidRDefault="009866CA">
      <w:r>
        <w:t xml:space="preserve">Sie dürfen </w:t>
      </w:r>
      <w:r w:rsidR="00111412">
        <w:t xml:space="preserve">diesen Impfstoff </w:t>
      </w:r>
      <w:r>
        <w:t>nach dem auf dem Umkarton angegebenen Verfalldatum nicht mehr verwenden. Das Verfalldatum bezieht sich auf den letzten Tag des angegebenen Monats.</w:t>
      </w:r>
    </w:p>
    <w:p w14:paraId="4C29F990" w14:textId="77777777" w:rsidR="008B7366" w:rsidRDefault="008B7366"/>
    <w:p w14:paraId="0157F24B" w14:textId="4B72FDA7" w:rsidR="008B7366" w:rsidRDefault="009866CA">
      <w:r>
        <w:t>Im Kühlschrank lagern (2</w:t>
      </w:r>
      <w:r w:rsidR="00CF476C">
        <w:t> </w:t>
      </w:r>
      <w:r>
        <w:t>°C – 8</w:t>
      </w:r>
      <w:r w:rsidR="00CF476C">
        <w:t> </w:t>
      </w:r>
      <w:r>
        <w:t>°C).</w:t>
      </w:r>
    </w:p>
    <w:p w14:paraId="25F6C6B8" w14:textId="7F033E38" w:rsidR="008B7366" w:rsidRDefault="009866CA">
      <w:r>
        <w:t>In der Originalverpackung aufbewahren</w:t>
      </w:r>
      <w:r w:rsidR="00CF476C">
        <w:t>, um den Inhalt vor Licht und Feuchtigkeit zu schützen</w:t>
      </w:r>
      <w:r>
        <w:t>.</w:t>
      </w:r>
    </w:p>
    <w:p w14:paraId="07323F6A" w14:textId="176CC734" w:rsidR="008B7366" w:rsidRDefault="009866CA">
      <w:r>
        <w:t xml:space="preserve">Bei Lagerung in der Originalverpackung ist </w:t>
      </w:r>
      <w:r w:rsidR="00231422">
        <w:t xml:space="preserve">der Impfstoff </w:t>
      </w:r>
      <w:r>
        <w:t>bei einer Temperatur von 25</w:t>
      </w:r>
      <w:r w:rsidR="00231422">
        <w:t> </w:t>
      </w:r>
      <w:r>
        <w:t>°C bis zu 12 Stunden stabil.</w:t>
      </w:r>
      <w:r w:rsidR="00231422">
        <w:t xml:space="preserve"> N</w:t>
      </w:r>
      <w:r w:rsidR="00270DD9">
        <w:t xml:space="preserve">ach Ablauf dieses Zeitraums ist der Impfstoff sofort zu verwenden </w:t>
      </w:r>
      <w:r w:rsidR="00770581">
        <w:t>oder zu entsorgen.</w:t>
      </w:r>
      <w:r>
        <w:t xml:space="preserve"> </w:t>
      </w:r>
      <w:proofErr w:type="spellStart"/>
      <w:r>
        <w:t>Vaxchora</w:t>
      </w:r>
      <w:proofErr w:type="spellEnd"/>
      <w:r>
        <w:t xml:space="preserve"> keinen Temperaturen über 25</w:t>
      </w:r>
      <w:r w:rsidR="00770581">
        <w:t> </w:t>
      </w:r>
      <w:r>
        <w:t>°C aussetzen.</w:t>
      </w:r>
    </w:p>
    <w:p w14:paraId="2DB777D3" w14:textId="77777777" w:rsidR="008B7366" w:rsidRDefault="008B7366"/>
    <w:p w14:paraId="727C9F38" w14:textId="68CFC0C9" w:rsidR="008B7366" w:rsidRDefault="009866CA">
      <w:r>
        <w:t xml:space="preserve">Sie dürfen diesen Impfstoff nicht verwenden, wenn Sie </w:t>
      </w:r>
      <w:r w:rsidR="00A41754">
        <w:t xml:space="preserve">Folgendes </w:t>
      </w:r>
      <w:r>
        <w:t>bemerken</w:t>
      </w:r>
      <w:r w:rsidR="00A41754">
        <w:t>:</w:t>
      </w:r>
      <w:r>
        <w:t xml:space="preserve"> </w:t>
      </w:r>
      <w:r w:rsidR="00B24860">
        <w:t>eine Beschädigung der</w:t>
      </w:r>
      <w:r>
        <w:t xml:space="preserve"> Beutel. Bitten Sie in diesem Fall den Arzt, Apotheker oder das medizinische Fachpersonal um eine Ersatzdosis.</w:t>
      </w:r>
    </w:p>
    <w:p w14:paraId="31F52D6E" w14:textId="77777777" w:rsidR="008B7366" w:rsidRDefault="008B7366"/>
    <w:p w14:paraId="25DC9D6B" w14:textId="53FBCC31" w:rsidR="008B7366" w:rsidRDefault="009866CA">
      <w:r>
        <w:t xml:space="preserve">Dieses Arzneimittel enthält genetisch veränderte Organismen. Bei der Entsorgung von nicht verwendetem Arzneimittel oder Abfällen die lokalen Richtlinien zur Biosicherheit einhalten. Fragen Sie Ihren Arzt, Apotheker oder </w:t>
      </w:r>
      <w:r w:rsidR="00690C5B">
        <w:t>das medizinische Fachpersonal</w:t>
      </w:r>
      <w:r>
        <w:t xml:space="preserve">, wie </w:t>
      </w:r>
      <w:r w:rsidR="009F651E">
        <w:t xml:space="preserve">Abfälle oder </w:t>
      </w:r>
      <w:r w:rsidR="00CF39B0">
        <w:t xml:space="preserve">das </w:t>
      </w:r>
      <w:r>
        <w:t>Arzneimittel</w:t>
      </w:r>
      <w:r w:rsidR="00CF39B0">
        <w:t xml:space="preserve"> zu entsorgen ist</w:t>
      </w:r>
      <w:r>
        <w:t xml:space="preserve">, </w:t>
      </w:r>
      <w:r w:rsidR="00CF39B0">
        <w:t xml:space="preserve">wenn </w:t>
      </w:r>
      <w:r>
        <w:t>Sie</w:t>
      </w:r>
      <w:r w:rsidR="00CF39B0">
        <w:t xml:space="preserve"> es</w:t>
      </w:r>
      <w:r>
        <w:t xml:space="preserve"> nicht mehr </w:t>
      </w:r>
      <w:r w:rsidR="00B24860">
        <w:t>verwenden</w:t>
      </w:r>
      <w:r>
        <w:t>.</w:t>
      </w:r>
    </w:p>
    <w:p w14:paraId="1B8FDE27" w14:textId="77777777" w:rsidR="008B7366" w:rsidRDefault="008B7366"/>
    <w:p w14:paraId="794A2E32" w14:textId="77777777" w:rsidR="008B7366" w:rsidRDefault="008B7366"/>
    <w:p w14:paraId="2DDB1E90" w14:textId="77777777" w:rsidR="008B7366" w:rsidRDefault="009866CA">
      <w:pPr>
        <w:pStyle w:val="Heading1"/>
      </w:pPr>
      <w:r>
        <w:t>6.</w:t>
      </w:r>
      <w:r>
        <w:tab/>
        <w:t>Inhalt der Packung und weitere Informationen</w:t>
      </w:r>
    </w:p>
    <w:p w14:paraId="4A305174" w14:textId="77777777" w:rsidR="008B7366" w:rsidRDefault="008B7366">
      <w:pPr>
        <w:keepNext/>
      </w:pPr>
    </w:p>
    <w:p w14:paraId="3AB1B27F" w14:textId="77777777" w:rsidR="008B7366" w:rsidRDefault="009866CA">
      <w:pPr>
        <w:pStyle w:val="HeadingStrong"/>
      </w:pPr>
      <w:r>
        <w:t xml:space="preserve">Was </w:t>
      </w:r>
      <w:proofErr w:type="spellStart"/>
      <w:r>
        <w:t>Vaxchora</w:t>
      </w:r>
      <w:proofErr w:type="spellEnd"/>
      <w:r>
        <w:t xml:space="preserve"> enthält</w:t>
      </w:r>
    </w:p>
    <w:p w14:paraId="4E19866E" w14:textId="7DD5555B" w:rsidR="008B7366" w:rsidRDefault="009866CA">
      <w:pPr>
        <w:pStyle w:val="Bullet-"/>
      </w:pPr>
      <w:r>
        <w:t>Eine Dosis enthält 4</w:t>
      </w:r>
      <w:r w:rsidR="00BA5138">
        <w:t> </w:t>
      </w:r>
      <w:r>
        <w:t>×</w:t>
      </w:r>
      <w:r w:rsidR="00BA5138">
        <w:t> </w:t>
      </w:r>
      <w:r>
        <w:t>10</w:t>
      </w:r>
      <w:r>
        <w:rPr>
          <w:rStyle w:val="Superscript"/>
        </w:rPr>
        <w:t>8</w:t>
      </w:r>
      <w:r>
        <w:t xml:space="preserve"> bis 2</w:t>
      </w:r>
      <w:r w:rsidR="00BA5138">
        <w:t> </w:t>
      </w:r>
      <w:r>
        <w:t>×</w:t>
      </w:r>
      <w:r w:rsidR="00BA5138">
        <w:t> </w:t>
      </w:r>
      <w:r>
        <w:t>10</w:t>
      </w:r>
      <w:r>
        <w:rPr>
          <w:rStyle w:val="Superscript"/>
        </w:rPr>
        <w:t>9</w:t>
      </w:r>
      <w:r>
        <w:t xml:space="preserve"> </w:t>
      </w:r>
      <w:r w:rsidR="00A60EE3">
        <w:t>Lebendzellen</w:t>
      </w:r>
      <w:r>
        <w:t xml:space="preserve"> des </w:t>
      </w:r>
      <w:r>
        <w:rPr>
          <w:rStyle w:val="Emphasis"/>
        </w:rPr>
        <w:t>V</w:t>
      </w:r>
      <w:r w:rsidR="00BA5138">
        <w:rPr>
          <w:rStyle w:val="Emphasis"/>
        </w:rPr>
        <w:t>ibrio</w:t>
      </w:r>
      <w:r>
        <w:t> </w:t>
      </w:r>
      <w:r>
        <w:rPr>
          <w:rStyle w:val="Emphasis"/>
        </w:rPr>
        <w:t>cholerae</w:t>
      </w:r>
      <w:r>
        <w:t>-Stamms CVD 103-HgR</w:t>
      </w:r>
      <w:r w:rsidR="0042575D" w:rsidRPr="00B24860">
        <w:rPr>
          <w:vertAlign w:val="superscript"/>
        </w:rPr>
        <w:t>1</w:t>
      </w:r>
      <w:r>
        <w:t>.</w:t>
      </w:r>
    </w:p>
    <w:p w14:paraId="44471110" w14:textId="4741C090" w:rsidR="008B7366" w:rsidRDefault="009866CA">
      <w:pPr>
        <w:pStyle w:val="Bullet-"/>
      </w:pPr>
      <w:r>
        <w:t>Die sonstigen Bestandteile sind</w:t>
      </w:r>
      <w:r w:rsidR="00BA5138">
        <w:t>:</w:t>
      </w:r>
      <w:r>
        <w:t xml:space="preserve"> </w:t>
      </w:r>
      <w:r w:rsidR="002C6B90">
        <w:t>Saccharose</w:t>
      </w:r>
      <w:r>
        <w:t>, hydrolysiertes Casein, Ascorbinsäure, Lactose, Natriumbicarbonat und Natriumcarbonat</w:t>
      </w:r>
      <w:r w:rsidR="0042575D">
        <w:t xml:space="preserve"> (siehe Abschnitt 2, „</w:t>
      </w:r>
      <w:proofErr w:type="spellStart"/>
      <w:r w:rsidR="0042575D">
        <w:t>Vaxchora</w:t>
      </w:r>
      <w:proofErr w:type="spellEnd"/>
      <w:r w:rsidR="0042575D">
        <w:t xml:space="preserve"> enthält Lactose, Saccharose und Natrium“)</w:t>
      </w:r>
      <w:r>
        <w:t>.</w:t>
      </w:r>
    </w:p>
    <w:p w14:paraId="75666A40" w14:textId="77777777" w:rsidR="008B7366" w:rsidRDefault="009866CA">
      <w:pPr>
        <w:pStyle w:val="Bullet-"/>
      </w:pPr>
      <w:r>
        <w:t>Dieser Impfstoff enthält genetisch veränderte Organismen (</w:t>
      </w:r>
      <w:proofErr w:type="spellStart"/>
      <w:r>
        <w:t>Genetically</w:t>
      </w:r>
      <w:proofErr w:type="spellEnd"/>
      <w:r>
        <w:t xml:space="preserve"> </w:t>
      </w:r>
      <w:proofErr w:type="spellStart"/>
      <w:r>
        <w:t>Modified</w:t>
      </w:r>
      <w:proofErr w:type="spellEnd"/>
      <w:r>
        <w:t xml:space="preserve"> </w:t>
      </w:r>
      <w:proofErr w:type="spellStart"/>
      <w:r>
        <w:t>Organisms</w:t>
      </w:r>
      <w:proofErr w:type="spellEnd"/>
      <w:r>
        <w:t>, GMO).</w:t>
      </w:r>
    </w:p>
    <w:p w14:paraId="571A630B" w14:textId="77777777" w:rsidR="00990510" w:rsidRDefault="00990510"/>
    <w:p w14:paraId="7507187A" w14:textId="1F13D68B" w:rsidR="008B7366" w:rsidRDefault="00990510">
      <w:r w:rsidRPr="00B24860">
        <w:rPr>
          <w:vertAlign w:val="superscript"/>
        </w:rPr>
        <w:t>1</w:t>
      </w:r>
      <w:r>
        <w:t xml:space="preserve"> </w:t>
      </w:r>
      <w:r w:rsidRPr="00990510">
        <w:t>Hergestellt durch rekombinante DNA-Technologie.</w:t>
      </w:r>
    </w:p>
    <w:p w14:paraId="2700AA39" w14:textId="77777777" w:rsidR="00990510" w:rsidRDefault="00990510"/>
    <w:p w14:paraId="2C42EAA5" w14:textId="77777777" w:rsidR="008B7366" w:rsidRDefault="009866CA">
      <w:pPr>
        <w:pStyle w:val="HeadingStrong"/>
      </w:pPr>
      <w:r>
        <w:t xml:space="preserve">Wie </w:t>
      </w:r>
      <w:proofErr w:type="spellStart"/>
      <w:r>
        <w:t>Vaxchora</w:t>
      </w:r>
      <w:proofErr w:type="spellEnd"/>
      <w:r>
        <w:t xml:space="preserve"> aussieht und Inhalt der Packung</w:t>
      </w:r>
    </w:p>
    <w:p w14:paraId="1E308C31" w14:textId="1C513175" w:rsidR="008B7366" w:rsidRDefault="004C1CEA">
      <w:r>
        <w:t>In einem Umkarton mit 2 Beuteln ist e</w:t>
      </w:r>
      <w:r w:rsidR="004C06A7">
        <w:t xml:space="preserve">ine Dosis </w:t>
      </w:r>
      <w:proofErr w:type="spellStart"/>
      <w:r w:rsidR="004C06A7">
        <w:t>Vaxchora</w:t>
      </w:r>
      <w:proofErr w:type="spellEnd"/>
      <w:r w:rsidR="004C06A7">
        <w:t xml:space="preserve"> Brausepulver und Pulver zur Herstellung einer Suspension zum Einnehmen</w:t>
      </w:r>
      <w:r>
        <w:t xml:space="preserve"> enthalten.</w:t>
      </w:r>
      <w:r w:rsidR="009866CA">
        <w:t xml:space="preserve"> Ein Beutel enthält den weißen bis cremefarbenen Puffer in Form von Natriumhydrogencarbonat-Brausepulver. Der andere Beutel enthält den weißen bis beigefarbenen Wirkstoff in Form von Pulver</w:t>
      </w:r>
      <w:r w:rsidR="00C672AB">
        <w:t xml:space="preserve"> zur Herstellung einer Suspension zum Einnehmen</w:t>
      </w:r>
      <w:r w:rsidR="009866CA">
        <w:t>.</w:t>
      </w:r>
    </w:p>
    <w:p w14:paraId="477EFBE2" w14:textId="77777777" w:rsidR="008B7366" w:rsidRDefault="008B7366"/>
    <w:p w14:paraId="6D91DCE6" w14:textId="71E304A2" w:rsidR="008B7366" w:rsidRDefault="00436D46">
      <w:pPr>
        <w:pStyle w:val="HeadingStrong"/>
      </w:pPr>
      <w:r>
        <w:t>Pharmazeutischer Unternehmer</w:t>
      </w:r>
    </w:p>
    <w:p w14:paraId="0FD44E8E" w14:textId="77777777" w:rsidR="008B7366" w:rsidRDefault="008B7366">
      <w:pPr>
        <w:keepNext/>
      </w:pPr>
    </w:p>
    <w:p w14:paraId="17E07E5C" w14:textId="1FC454D6" w:rsidR="009D57DD" w:rsidRDefault="009A658A">
      <w:proofErr w:type="spellStart"/>
      <w:r w:rsidRPr="009A658A">
        <w:t>Bavarian</w:t>
      </w:r>
      <w:proofErr w:type="spellEnd"/>
      <w:r w:rsidRPr="009A658A">
        <w:t xml:space="preserve"> Nordic A/S, Philip Heymans Alle 3, DK-2900 </w:t>
      </w:r>
      <w:proofErr w:type="spellStart"/>
      <w:r w:rsidRPr="009A658A">
        <w:t>Hellerup</w:t>
      </w:r>
      <w:proofErr w:type="spellEnd"/>
      <w:r w:rsidRPr="009A658A">
        <w:t xml:space="preserve">, </w:t>
      </w:r>
      <w:r>
        <w:t>Dänemark</w:t>
      </w:r>
    </w:p>
    <w:p w14:paraId="61240B23" w14:textId="77777777" w:rsidR="008B7366" w:rsidRDefault="008B7366"/>
    <w:p w14:paraId="3ECC1502" w14:textId="77777777" w:rsidR="008B7366" w:rsidRDefault="009866CA">
      <w:pPr>
        <w:pStyle w:val="HeadingStrong"/>
      </w:pPr>
      <w:r>
        <w:lastRenderedPageBreak/>
        <w:t>Hersteller</w:t>
      </w:r>
    </w:p>
    <w:p w14:paraId="364EB8A8" w14:textId="77777777" w:rsidR="008B7366" w:rsidRDefault="008B7366">
      <w:pPr>
        <w:keepNext/>
      </w:pPr>
    </w:p>
    <w:p w14:paraId="050ED116" w14:textId="77777777" w:rsidR="008B7366" w:rsidRDefault="009866CA" w:rsidP="00B24860">
      <w:pPr>
        <w:keepNext/>
      </w:pPr>
      <w:r>
        <w:t>IL-CSM GmbH</w:t>
      </w:r>
    </w:p>
    <w:p w14:paraId="2477FA7B" w14:textId="77777777" w:rsidR="008B7366" w:rsidRDefault="009866CA" w:rsidP="00B24860">
      <w:pPr>
        <w:keepNext/>
      </w:pPr>
      <w:r>
        <w:t>Marie-Curie-Straße 8</w:t>
      </w:r>
    </w:p>
    <w:p w14:paraId="29D11115" w14:textId="77777777" w:rsidR="008B7366" w:rsidRDefault="009866CA" w:rsidP="00B24860">
      <w:pPr>
        <w:keepNext/>
      </w:pPr>
      <w:r>
        <w:t>D</w:t>
      </w:r>
      <w:r>
        <w:noBreakHyphen/>
        <w:t>79539 Lörrach</w:t>
      </w:r>
    </w:p>
    <w:p w14:paraId="548928A5" w14:textId="77777777" w:rsidR="008B7366" w:rsidRDefault="009866CA">
      <w:r>
        <w:t>Deutschland</w:t>
      </w:r>
    </w:p>
    <w:p w14:paraId="1DCA682C" w14:textId="77777777" w:rsidR="008B7366" w:rsidRDefault="008B7366"/>
    <w:p w14:paraId="790B3433" w14:textId="0B9B1299" w:rsidR="008B7366" w:rsidRDefault="009866CA">
      <w:pPr>
        <w:pStyle w:val="HeadingStrong"/>
      </w:pPr>
      <w:r>
        <w:t>Diese Packungsbeilage wurde zuletzt überarbeitet im</w:t>
      </w:r>
      <w:r w:rsidR="00A07F52">
        <w:t xml:space="preserve"> 01</w:t>
      </w:r>
      <w:r w:rsidR="00333675">
        <w:t>.</w:t>
      </w:r>
      <w:r w:rsidR="00A07F52">
        <w:t>2025</w:t>
      </w:r>
      <w:r w:rsidR="00333675">
        <w:t>.</w:t>
      </w:r>
    </w:p>
    <w:p w14:paraId="3DDE8F06" w14:textId="77777777" w:rsidR="008B7366" w:rsidRDefault="008B7366"/>
    <w:p w14:paraId="1E21B4D2" w14:textId="77777777" w:rsidR="008B7366" w:rsidRDefault="009866CA">
      <w:pPr>
        <w:pStyle w:val="HeadingStrong"/>
      </w:pPr>
      <w:r>
        <w:t>Weitere Informationsquellen</w:t>
      </w:r>
    </w:p>
    <w:p w14:paraId="0E229563" w14:textId="77777777" w:rsidR="008B7366" w:rsidRDefault="008B7366"/>
    <w:p w14:paraId="5FC9BA2D" w14:textId="4C002E16" w:rsidR="008B7366" w:rsidRDefault="009866CA">
      <w:r>
        <w:t xml:space="preserve">Ausführliche Informationen zu diesem Arzneimittel sind auf den Internetseiten der Europäischen Arzneimittel-Agentur </w:t>
      </w:r>
      <w:hyperlink r:id="rId31" w:history="1">
        <w:r w:rsidR="00616F5D" w:rsidRPr="00D50217">
          <w:rPr>
            <w:rStyle w:val="Hyperlink"/>
            <w:noProof/>
            <w:szCs w:val="20"/>
            <w:lang w:eastAsia="de-DE" w:bidi="de-DE"/>
          </w:rPr>
          <w:t>https://www.ema.europa.eu/</w:t>
        </w:r>
      </w:hyperlink>
      <w:r>
        <w:t xml:space="preserve"> verfügbar.</w:t>
      </w:r>
    </w:p>
    <w:p w14:paraId="4312A9A3" w14:textId="17BAD55E" w:rsidR="008B7366" w:rsidRDefault="008B7366"/>
    <w:sectPr w:rsidR="008B7366">
      <w:headerReference w:type="even" r:id="rId32"/>
      <w:headerReference w:type="default" r:id="rId33"/>
      <w:footerReference w:type="even" r:id="rId34"/>
      <w:footerReference w:type="default" r:id="rId35"/>
      <w:headerReference w:type="first" r:id="rId36"/>
      <w:footerReference w:type="first" r:id="rId37"/>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A2E4" w14:textId="77777777" w:rsidR="005F7217" w:rsidRDefault="005F7217">
      <w:r>
        <w:separator/>
      </w:r>
    </w:p>
  </w:endnote>
  <w:endnote w:type="continuationSeparator" w:id="0">
    <w:p w14:paraId="2905F9CB" w14:textId="77777777" w:rsidR="005F7217" w:rsidRDefault="005F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C2E6" w14:textId="77777777" w:rsidR="00696A88" w:rsidRDefault="00696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DBA7" w14:textId="1258F148" w:rsidR="00554BEA" w:rsidRDefault="00554BEA">
    <w:pPr>
      <w:pStyle w:val="Footer"/>
    </w:pPr>
    <w:r>
      <w:fldChar w:fldCharType="begin"/>
    </w:r>
    <w:r>
      <w:instrText xml:space="preserve"> PAGE  \* Arabic  \* MERGEFORMAT </w:instrText>
    </w:r>
    <w:r>
      <w:fldChar w:fldCharType="separate"/>
    </w:r>
    <w:r>
      <w:rPr>
        <w:noProof/>
      </w:rPr>
      <w:t>33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F4D0" w14:textId="77777777" w:rsidR="00696A88" w:rsidRDefault="00696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D201" w14:textId="77777777" w:rsidR="005F7217" w:rsidRDefault="005F7217">
      <w:r>
        <w:separator/>
      </w:r>
    </w:p>
  </w:footnote>
  <w:footnote w:type="continuationSeparator" w:id="0">
    <w:p w14:paraId="4B57F1A1" w14:textId="77777777" w:rsidR="005F7217" w:rsidRDefault="005F7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CB7E" w14:textId="77777777" w:rsidR="00696A88" w:rsidRDefault="00696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C169" w14:textId="77777777" w:rsidR="00696A88" w:rsidRDefault="00696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36EE" w14:textId="77777777" w:rsidR="00696A88" w:rsidRDefault="00696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1681E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BD626E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666EE9E"/>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D105C2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F3D866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C6D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723B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444B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C0AF3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CAA41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93FAC"/>
    <w:multiLevelType w:val="hybridMultilevel"/>
    <w:tmpl w:val="EA881E00"/>
    <w:lvl w:ilvl="0" w:tplc="FFFFFFFF">
      <w:start w:val="1"/>
      <w:numFmt w:val="bullet"/>
      <w:lvlText w:val="-"/>
      <w:lvlJc w:val="left"/>
      <w:pPr>
        <w:ind w:left="562" w:hanging="562"/>
      </w:pPr>
      <w:rPr>
        <w:rFonts w:hint="default"/>
        <w:b w:val="0"/>
        <w:i w:val="0"/>
        <w:caps w:val="0"/>
        <w:smallCaps w:val="0"/>
        <w:strike w:val="0"/>
        <w:dstrike w:val="0"/>
        <w:vanish w:val="0"/>
        <w:color w:val="auto"/>
        <w:spacing w:val="0"/>
        <w:w w:val="100"/>
        <w:kern w:val="0"/>
        <w:position w:val="0"/>
        <w:sz w:val="22"/>
        <w:u w:val="none"/>
        <w:effect w:val="none"/>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C787D2B"/>
    <w:multiLevelType w:val="hybridMultilevel"/>
    <w:tmpl w:val="39141C4C"/>
    <w:lvl w:ilvl="0" w:tplc="F1D8AA6C">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E2A63"/>
    <w:multiLevelType w:val="hybridMultilevel"/>
    <w:tmpl w:val="86421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1A3920"/>
    <w:multiLevelType w:val="hybridMultilevel"/>
    <w:tmpl w:val="54386C9E"/>
    <w:lvl w:ilvl="0" w:tplc="5DAADB12">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C0327"/>
    <w:multiLevelType w:val="hybridMultilevel"/>
    <w:tmpl w:val="1EAC0D92"/>
    <w:lvl w:ilvl="0" w:tplc="9CFA9D1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448E4"/>
    <w:multiLevelType w:val="hybridMultilevel"/>
    <w:tmpl w:val="9F9EF3C4"/>
    <w:lvl w:ilvl="0" w:tplc="B1660F98">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D21D5"/>
    <w:multiLevelType w:val="hybridMultilevel"/>
    <w:tmpl w:val="6E62413C"/>
    <w:lvl w:ilvl="0" w:tplc="F342D858">
      <w:start w:val="1"/>
      <w:numFmt w:val="bullet"/>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566C4"/>
    <w:multiLevelType w:val="hybridMultilevel"/>
    <w:tmpl w:val="9E04ABE4"/>
    <w:lvl w:ilvl="0" w:tplc="D23AACB6">
      <w:start w:val="1"/>
      <w:numFmt w:val="bullet"/>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886939">
    <w:abstractNumId w:val="14"/>
  </w:num>
  <w:num w:numId="2" w16cid:durableId="1028485600">
    <w:abstractNumId w:val="15"/>
  </w:num>
  <w:num w:numId="3" w16cid:durableId="834105212">
    <w:abstractNumId w:val="18"/>
  </w:num>
  <w:num w:numId="4" w16cid:durableId="136845743">
    <w:abstractNumId w:val="9"/>
  </w:num>
  <w:num w:numId="5" w16cid:durableId="2090613120">
    <w:abstractNumId w:val="7"/>
  </w:num>
  <w:num w:numId="6" w16cid:durableId="947811568">
    <w:abstractNumId w:val="6"/>
  </w:num>
  <w:num w:numId="7" w16cid:durableId="651059637">
    <w:abstractNumId w:val="5"/>
  </w:num>
  <w:num w:numId="8" w16cid:durableId="110437129">
    <w:abstractNumId w:val="4"/>
  </w:num>
  <w:num w:numId="9" w16cid:durableId="2105414115">
    <w:abstractNumId w:val="8"/>
  </w:num>
  <w:num w:numId="10" w16cid:durableId="389039754">
    <w:abstractNumId w:val="3"/>
  </w:num>
  <w:num w:numId="11" w16cid:durableId="266818850">
    <w:abstractNumId w:val="2"/>
  </w:num>
  <w:num w:numId="12" w16cid:durableId="1988051528">
    <w:abstractNumId w:val="1"/>
  </w:num>
  <w:num w:numId="13" w16cid:durableId="1087772928">
    <w:abstractNumId w:val="0"/>
  </w:num>
  <w:num w:numId="14" w16cid:durableId="1380395603">
    <w:abstractNumId w:val="18"/>
    <w:lvlOverride w:ilvl="0">
      <w:startOverride w:val="1"/>
    </w:lvlOverride>
  </w:num>
  <w:num w:numId="15" w16cid:durableId="298271145">
    <w:abstractNumId w:val="15"/>
    <w:lvlOverride w:ilvl="0">
      <w:startOverride w:val="1"/>
    </w:lvlOverride>
  </w:num>
  <w:num w:numId="16" w16cid:durableId="664556451">
    <w:abstractNumId w:val="17"/>
  </w:num>
  <w:num w:numId="17" w16cid:durableId="1529375036">
    <w:abstractNumId w:val="16"/>
  </w:num>
  <w:num w:numId="18" w16cid:durableId="1240948504">
    <w:abstractNumId w:val="13"/>
  </w:num>
  <w:num w:numId="19" w16cid:durableId="1173446387">
    <w:abstractNumId w:val="13"/>
    <w:lvlOverride w:ilvl="0">
      <w:startOverride w:val="1"/>
    </w:lvlOverride>
  </w:num>
  <w:num w:numId="20" w16cid:durableId="1470584664">
    <w:abstractNumId w:val="11"/>
  </w:num>
  <w:num w:numId="21" w16cid:durableId="1238785801">
    <w:abstractNumId w:val="12"/>
  </w:num>
  <w:num w:numId="22" w16cid:durableId="1627587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66"/>
    <w:rsid w:val="00001E4E"/>
    <w:rsid w:val="0000585F"/>
    <w:rsid w:val="000065DE"/>
    <w:rsid w:val="00006E42"/>
    <w:rsid w:val="000114B2"/>
    <w:rsid w:val="000116BF"/>
    <w:rsid w:val="00011F1C"/>
    <w:rsid w:val="00013541"/>
    <w:rsid w:val="0001502D"/>
    <w:rsid w:val="00021EC7"/>
    <w:rsid w:val="00022E7D"/>
    <w:rsid w:val="0004242E"/>
    <w:rsid w:val="00044612"/>
    <w:rsid w:val="000502FF"/>
    <w:rsid w:val="00056985"/>
    <w:rsid w:val="00057738"/>
    <w:rsid w:val="00060FA2"/>
    <w:rsid w:val="00065ED2"/>
    <w:rsid w:val="00083EB8"/>
    <w:rsid w:val="0008597D"/>
    <w:rsid w:val="00086076"/>
    <w:rsid w:val="00087275"/>
    <w:rsid w:val="000A20B1"/>
    <w:rsid w:val="000A4097"/>
    <w:rsid w:val="000A765A"/>
    <w:rsid w:val="000B6B46"/>
    <w:rsid w:val="000D42C8"/>
    <w:rsid w:val="000E77F0"/>
    <w:rsid w:val="000F39AE"/>
    <w:rsid w:val="000F5D97"/>
    <w:rsid w:val="00103330"/>
    <w:rsid w:val="00111412"/>
    <w:rsid w:val="00116536"/>
    <w:rsid w:val="001179B3"/>
    <w:rsid w:val="001256DA"/>
    <w:rsid w:val="00127FE9"/>
    <w:rsid w:val="00132C88"/>
    <w:rsid w:val="00133011"/>
    <w:rsid w:val="00141C63"/>
    <w:rsid w:val="001448F6"/>
    <w:rsid w:val="00145451"/>
    <w:rsid w:val="00145FE1"/>
    <w:rsid w:val="00147F9C"/>
    <w:rsid w:val="0015277A"/>
    <w:rsid w:val="001536AD"/>
    <w:rsid w:val="00160DE5"/>
    <w:rsid w:val="00166BDF"/>
    <w:rsid w:val="00167F1B"/>
    <w:rsid w:val="001722EE"/>
    <w:rsid w:val="00174D71"/>
    <w:rsid w:val="00181667"/>
    <w:rsid w:val="00182695"/>
    <w:rsid w:val="00193787"/>
    <w:rsid w:val="00194887"/>
    <w:rsid w:val="0019710B"/>
    <w:rsid w:val="001A7660"/>
    <w:rsid w:val="001A7C3C"/>
    <w:rsid w:val="001B2525"/>
    <w:rsid w:val="001B3285"/>
    <w:rsid w:val="001B4BA4"/>
    <w:rsid w:val="001B5904"/>
    <w:rsid w:val="001C3FB4"/>
    <w:rsid w:val="001C6802"/>
    <w:rsid w:val="001C779F"/>
    <w:rsid w:val="001D2F6E"/>
    <w:rsid w:val="001F1ACD"/>
    <w:rsid w:val="001F1E02"/>
    <w:rsid w:val="001F5328"/>
    <w:rsid w:val="0021049D"/>
    <w:rsid w:val="00215D44"/>
    <w:rsid w:val="0021627F"/>
    <w:rsid w:val="002175A0"/>
    <w:rsid w:val="00221225"/>
    <w:rsid w:val="002268B0"/>
    <w:rsid w:val="00227F17"/>
    <w:rsid w:val="00231422"/>
    <w:rsid w:val="00233D6D"/>
    <w:rsid w:val="00235263"/>
    <w:rsid w:val="00245255"/>
    <w:rsid w:val="00250CA9"/>
    <w:rsid w:val="002532A0"/>
    <w:rsid w:val="002551C4"/>
    <w:rsid w:val="00255F23"/>
    <w:rsid w:val="00261E69"/>
    <w:rsid w:val="00270DD9"/>
    <w:rsid w:val="002961BE"/>
    <w:rsid w:val="00297A51"/>
    <w:rsid w:val="002B2257"/>
    <w:rsid w:val="002C1D2D"/>
    <w:rsid w:val="002C4C35"/>
    <w:rsid w:val="002C6B90"/>
    <w:rsid w:val="002D0FF3"/>
    <w:rsid w:val="002D5AC4"/>
    <w:rsid w:val="002E0403"/>
    <w:rsid w:val="002E267F"/>
    <w:rsid w:val="00301A24"/>
    <w:rsid w:val="00306499"/>
    <w:rsid w:val="003115AA"/>
    <w:rsid w:val="00312BD7"/>
    <w:rsid w:val="00324062"/>
    <w:rsid w:val="00326EE3"/>
    <w:rsid w:val="00333675"/>
    <w:rsid w:val="00351AAD"/>
    <w:rsid w:val="003520DE"/>
    <w:rsid w:val="0036064F"/>
    <w:rsid w:val="00363CF4"/>
    <w:rsid w:val="00363D29"/>
    <w:rsid w:val="00367962"/>
    <w:rsid w:val="0037697F"/>
    <w:rsid w:val="00382430"/>
    <w:rsid w:val="003C0D3F"/>
    <w:rsid w:val="003C3384"/>
    <w:rsid w:val="003D11EF"/>
    <w:rsid w:val="003D5FFC"/>
    <w:rsid w:val="003E3505"/>
    <w:rsid w:val="003E3E50"/>
    <w:rsid w:val="003E5A60"/>
    <w:rsid w:val="003E631C"/>
    <w:rsid w:val="003E6817"/>
    <w:rsid w:val="003F2C6F"/>
    <w:rsid w:val="003F38D7"/>
    <w:rsid w:val="003F5B8C"/>
    <w:rsid w:val="00406353"/>
    <w:rsid w:val="0041542C"/>
    <w:rsid w:val="004175EB"/>
    <w:rsid w:val="00420BF5"/>
    <w:rsid w:val="00422067"/>
    <w:rsid w:val="004239AA"/>
    <w:rsid w:val="0042575D"/>
    <w:rsid w:val="00431864"/>
    <w:rsid w:val="00436D46"/>
    <w:rsid w:val="004404C6"/>
    <w:rsid w:val="00450DD3"/>
    <w:rsid w:val="004511AC"/>
    <w:rsid w:val="0045378E"/>
    <w:rsid w:val="00465072"/>
    <w:rsid w:val="0046610B"/>
    <w:rsid w:val="004741E0"/>
    <w:rsid w:val="004862AE"/>
    <w:rsid w:val="004932EA"/>
    <w:rsid w:val="00494E0E"/>
    <w:rsid w:val="004B3755"/>
    <w:rsid w:val="004B59BD"/>
    <w:rsid w:val="004B7CD4"/>
    <w:rsid w:val="004C06A7"/>
    <w:rsid w:val="004C1CEA"/>
    <w:rsid w:val="004C3C72"/>
    <w:rsid w:val="004D5696"/>
    <w:rsid w:val="004E0F7B"/>
    <w:rsid w:val="004E3B28"/>
    <w:rsid w:val="004F11BA"/>
    <w:rsid w:val="004F5209"/>
    <w:rsid w:val="004F5917"/>
    <w:rsid w:val="004F70D4"/>
    <w:rsid w:val="00505C87"/>
    <w:rsid w:val="0051051F"/>
    <w:rsid w:val="005263FC"/>
    <w:rsid w:val="005277B8"/>
    <w:rsid w:val="00533BFB"/>
    <w:rsid w:val="0053447E"/>
    <w:rsid w:val="005433A0"/>
    <w:rsid w:val="00554BEA"/>
    <w:rsid w:val="00556223"/>
    <w:rsid w:val="00556E58"/>
    <w:rsid w:val="0056117A"/>
    <w:rsid w:val="00563481"/>
    <w:rsid w:val="0057013E"/>
    <w:rsid w:val="005A6023"/>
    <w:rsid w:val="005C7C1C"/>
    <w:rsid w:val="005D2313"/>
    <w:rsid w:val="005D2A0F"/>
    <w:rsid w:val="005D3421"/>
    <w:rsid w:val="005F04F0"/>
    <w:rsid w:val="005F1E60"/>
    <w:rsid w:val="005F3FDB"/>
    <w:rsid w:val="005F4AC2"/>
    <w:rsid w:val="005F590F"/>
    <w:rsid w:val="005F6BEE"/>
    <w:rsid w:val="005F7217"/>
    <w:rsid w:val="006021E2"/>
    <w:rsid w:val="00607E30"/>
    <w:rsid w:val="0061088F"/>
    <w:rsid w:val="00616F5D"/>
    <w:rsid w:val="00616F8D"/>
    <w:rsid w:val="0061753D"/>
    <w:rsid w:val="00621D79"/>
    <w:rsid w:val="00623CD7"/>
    <w:rsid w:val="00630CC2"/>
    <w:rsid w:val="00633948"/>
    <w:rsid w:val="00636934"/>
    <w:rsid w:val="00637DB1"/>
    <w:rsid w:val="00640638"/>
    <w:rsid w:val="00641AA0"/>
    <w:rsid w:val="0064240F"/>
    <w:rsid w:val="00651E51"/>
    <w:rsid w:val="00652CEC"/>
    <w:rsid w:val="006657DA"/>
    <w:rsid w:val="00666106"/>
    <w:rsid w:val="00680E61"/>
    <w:rsid w:val="0068673B"/>
    <w:rsid w:val="00686B36"/>
    <w:rsid w:val="00690C5B"/>
    <w:rsid w:val="006924C1"/>
    <w:rsid w:val="00696A88"/>
    <w:rsid w:val="006A66A4"/>
    <w:rsid w:val="006B1EDF"/>
    <w:rsid w:val="006B36CF"/>
    <w:rsid w:val="006B37EF"/>
    <w:rsid w:val="006C5D53"/>
    <w:rsid w:val="006D347B"/>
    <w:rsid w:val="006D5F99"/>
    <w:rsid w:val="006D6F1F"/>
    <w:rsid w:val="006E3FA7"/>
    <w:rsid w:val="006E6014"/>
    <w:rsid w:val="006F1F35"/>
    <w:rsid w:val="00702769"/>
    <w:rsid w:val="00711354"/>
    <w:rsid w:val="0071677A"/>
    <w:rsid w:val="00717650"/>
    <w:rsid w:val="00720930"/>
    <w:rsid w:val="007228DD"/>
    <w:rsid w:val="00770581"/>
    <w:rsid w:val="00774208"/>
    <w:rsid w:val="00774B96"/>
    <w:rsid w:val="007803B8"/>
    <w:rsid w:val="007C226A"/>
    <w:rsid w:val="007C2A30"/>
    <w:rsid w:val="007C5306"/>
    <w:rsid w:val="007C6A08"/>
    <w:rsid w:val="007F0AFC"/>
    <w:rsid w:val="007F75BF"/>
    <w:rsid w:val="007F75DD"/>
    <w:rsid w:val="007F7BA7"/>
    <w:rsid w:val="008056C4"/>
    <w:rsid w:val="008064F9"/>
    <w:rsid w:val="00807B91"/>
    <w:rsid w:val="008114D2"/>
    <w:rsid w:val="00816B76"/>
    <w:rsid w:val="00822DFF"/>
    <w:rsid w:val="00827385"/>
    <w:rsid w:val="0083397D"/>
    <w:rsid w:val="008361A2"/>
    <w:rsid w:val="0083683B"/>
    <w:rsid w:val="0083796A"/>
    <w:rsid w:val="00843B41"/>
    <w:rsid w:val="008474B0"/>
    <w:rsid w:val="008551E5"/>
    <w:rsid w:val="0086491B"/>
    <w:rsid w:val="00866849"/>
    <w:rsid w:val="00867239"/>
    <w:rsid w:val="00867BB5"/>
    <w:rsid w:val="00893208"/>
    <w:rsid w:val="00896486"/>
    <w:rsid w:val="008A2FBB"/>
    <w:rsid w:val="008B5467"/>
    <w:rsid w:val="008B7366"/>
    <w:rsid w:val="008B7B77"/>
    <w:rsid w:val="008C05DF"/>
    <w:rsid w:val="008C075A"/>
    <w:rsid w:val="008C7E00"/>
    <w:rsid w:val="008D01B1"/>
    <w:rsid w:val="008D58C1"/>
    <w:rsid w:val="008E08E8"/>
    <w:rsid w:val="008E2051"/>
    <w:rsid w:val="008E510E"/>
    <w:rsid w:val="008F4966"/>
    <w:rsid w:val="008F7C6A"/>
    <w:rsid w:val="00900330"/>
    <w:rsid w:val="00913067"/>
    <w:rsid w:val="00922A8F"/>
    <w:rsid w:val="00923E56"/>
    <w:rsid w:val="0095556B"/>
    <w:rsid w:val="00961565"/>
    <w:rsid w:val="00967BD2"/>
    <w:rsid w:val="00971C38"/>
    <w:rsid w:val="009816DD"/>
    <w:rsid w:val="00982B6B"/>
    <w:rsid w:val="00985255"/>
    <w:rsid w:val="009866CA"/>
    <w:rsid w:val="0098709B"/>
    <w:rsid w:val="00990510"/>
    <w:rsid w:val="009A4471"/>
    <w:rsid w:val="009A658A"/>
    <w:rsid w:val="009B4AEE"/>
    <w:rsid w:val="009B72D5"/>
    <w:rsid w:val="009C0C5F"/>
    <w:rsid w:val="009C15F6"/>
    <w:rsid w:val="009C4D94"/>
    <w:rsid w:val="009D3979"/>
    <w:rsid w:val="009D57DD"/>
    <w:rsid w:val="009E0BCA"/>
    <w:rsid w:val="009E1042"/>
    <w:rsid w:val="009E2099"/>
    <w:rsid w:val="009F478B"/>
    <w:rsid w:val="009F651E"/>
    <w:rsid w:val="009F68A0"/>
    <w:rsid w:val="00A0537A"/>
    <w:rsid w:val="00A07F52"/>
    <w:rsid w:val="00A126C9"/>
    <w:rsid w:val="00A1394B"/>
    <w:rsid w:val="00A2082B"/>
    <w:rsid w:val="00A24B94"/>
    <w:rsid w:val="00A41754"/>
    <w:rsid w:val="00A41948"/>
    <w:rsid w:val="00A432F4"/>
    <w:rsid w:val="00A43E3E"/>
    <w:rsid w:val="00A46942"/>
    <w:rsid w:val="00A4790A"/>
    <w:rsid w:val="00A50D00"/>
    <w:rsid w:val="00A513B3"/>
    <w:rsid w:val="00A53C61"/>
    <w:rsid w:val="00A60EE3"/>
    <w:rsid w:val="00A65C54"/>
    <w:rsid w:val="00A66D43"/>
    <w:rsid w:val="00A716B0"/>
    <w:rsid w:val="00A80BDC"/>
    <w:rsid w:val="00A8290F"/>
    <w:rsid w:val="00A85DCE"/>
    <w:rsid w:val="00A96656"/>
    <w:rsid w:val="00AA5F3D"/>
    <w:rsid w:val="00AB2A82"/>
    <w:rsid w:val="00AB41CF"/>
    <w:rsid w:val="00AB59E4"/>
    <w:rsid w:val="00AB5D7A"/>
    <w:rsid w:val="00AB68B6"/>
    <w:rsid w:val="00AB722F"/>
    <w:rsid w:val="00AC3A6F"/>
    <w:rsid w:val="00AD7B3C"/>
    <w:rsid w:val="00AE2656"/>
    <w:rsid w:val="00AF23B1"/>
    <w:rsid w:val="00B00102"/>
    <w:rsid w:val="00B045E2"/>
    <w:rsid w:val="00B06FB9"/>
    <w:rsid w:val="00B14607"/>
    <w:rsid w:val="00B15476"/>
    <w:rsid w:val="00B24860"/>
    <w:rsid w:val="00B256C0"/>
    <w:rsid w:val="00B346BA"/>
    <w:rsid w:val="00B874D9"/>
    <w:rsid w:val="00B97B6D"/>
    <w:rsid w:val="00BA3DAA"/>
    <w:rsid w:val="00BA5138"/>
    <w:rsid w:val="00BA6242"/>
    <w:rsid w:val="00BC16ED"/>
    <w:rsid w:val="00BC2476"/>
    <w:rsid w:val="00BC28BC"/>
    <w:rsid w:val="00BC751D"/>
    <w:rsid w:val="00BD0414"/>
    <w:rsid w:val="00BD1806"/>
    <w:rsid w:val="00BE6223"/>
    <w:rsid w:val="00BE7D36"/>
    <w:rsid w:val="00BF02F0"/>
    <w:rsid w:val="00BF45CE"/>
    <w:rsid w:val="00BF4FDC"/>
    <w:rsid w:val="00BF78B5"/>
    <w:rsid w:val="00C110B4"/>
    <w:rsid w:val="00C12A0C"/>
    <w:rsid w:val="00C2136F"/>
    <w:rsid w:val="00C213DD"/>
    <w:rsid w:val="00C26729"/>
    <w:rsid w:val="00C273E7"/>
    <w:rsid w:val="00C3106D"/>
    <w:rsid w:val="00C36D86"/>
    <w:rsid w:val="00C4496B"/>
    <w:rsid w:val="00C51B31"/>
    <w:rsid w:val="00C522A8"/>
    <w:rsid w:val="00C54CCE"/>
    <w:rsid w:val="00C6411A"/>
    <w:rsid w:val="00C672AB"/>
    <w:rsid w:val="00C672F0"/>
    <w:rsid w:val="00C77BCD"/>
    <w:rsid w:val="00C82BDF"/>
    <w:rsid w:val="00C84BD4"/>
    <w:rsid w:val="00C9643C"/>
    <w:rsid w:val="00CA1311"/>
    <w:rsid w:val="00CA24B6"/>
    <w:rsid w:val="00CB293D"/>
    <w:rsid w:val="00CC529A"/>
    <w:rsid w:val="00CD0666"/>
    <w:rsid w:val="00CD4110"/>
    <w:rsid w:val="00CE042C"/>
    <w:rsid w:val="00CE28C2"/>
    <w:rsid w:val="00CF39B0"/>
    <w:rsid w:val="00CF476C"/>
    <w:rsid w:val="00CF4C8D"/>
    <w:rsid w:val="00CF545C"/>
    <w:rsid w:val="00D025DF"/>
    <w:rsid w:val="00D02F32"/>
    <w:rsid w:val="00D042F4"/>
    <w:rsid w:val="00D0614C"/>
    <w:rsid w:val="00D106C5"/>
    <w:rsid w:val="00D21934"/>
    <w:rsid w:val="00D245F5"/>
    <w:rsid w:val="00D3467D"/>
    <w:rsid w:val="00D368ED"/>
    <w:rsid w:val="00D43C3B"/>
    <w:rsid w:val="00D45BDC"/>
    <w:rsid w:val="00D531A1"/>
    <w:rsid w:val="00D569AA"/>
    <w:rsid w:val="00D64CCB"/>
    <w:rsid w:val="00D67011"/>
    <w:rsid w:val="00D710B9"/>
    <w:rsid w:val="00D915A9"/>
    <w:rsid w:val="00D9269A"/>
    <w:rsid w:val="00D9567B"/>
    <w:rsid w:val="00DA07A8"/>
    <w:rsid w:val="00DA55A1"/>
    <w:rsid w:val="00DA6A75"/>
    <w:rsid w:val="00DA79B2"/>
    <w:rsid w:val="00DB197E"/>
    <w:rsid w:val="00DB2B42"/>
    <w:rsid w:val="00DB6021"/>
    <w:rsid w:val="00DD45B1"/>
    <w:rsid w:val="00DD5784"/>
    <w:rsid w:val="00DD78C2"/>
    <w:rsid w:val="00DE25A8"/>
    <w:rsid w:val="00DE7DBE"/>
    <w:rsid w:val="00DF7BF6"/>
    <w:rsid w:val="00E04CF7"/>
    <w:rsid w:val="00E072A9"/>
    <w:rsid w:val="00E073A1"/>
    <w:rsid w:val="00E07759"/>
    <w:rsid w:val="00E1301A"/>
    <w:rsid w:val="00E179E1"/>
    <w:rsid w:val="00E20895"/>
    <w:rsid w:val="00E26A19"/>
    <w:rsid w:val="00E302A4"/>
    <w:rsid w:val="00E60EAF"/>
    <w:rsid w:val="00E6186F"/>
    <w:rsid w:val="00E65CF9"/>
    <w:rsid w:val="00E7370A"/>
    <w:rsid w:val="00E903AD"/>
    <w:rsid w:val="00E96F8F"/>
    <w:rsid w:val="00E97175"/>
    <w:rsid w:val="00EB19CA"/>
    <w:rsid w:val="00EB5D1B"/>
    <w:rsid w:val="00EC0635"/>
    <w:rsid w:val="00ED465D"/>
    <w:rsid w:val="00ED70AF"/>
    <w:rsid w:val="00EF05EF"/>
    <w:rsid w:val="00EF7798"/>
    <w:rsid w:val="00F20B64"/>
    <w:rsid w:val="00F27C3E"/>
    <w:rsid w:val="00F35751"/>
    <w:rsid w:val="00F478C8"/>
    <w:rsid w:val="00F75FE2"/>
    <w:rsid w:val="00F84567"/>
    <w:rsid w:val="00F96546"/>
    <w:rsid w:val="00FB2397"/>
    <w:rsid w:val="00FC0288"/>
    <w:rsid w:val="00FC6976"/>
    <w:rsid w:val="00FD22C1"/>
    <w:rsid w:val="00FE42EB"/>
    <w:rsid w:val="00FE468E"/>
    <w:rsid w:val="00FE6C28"/>
    <w:rsid w:val="00FE75EB"/>
    <w:rsid w:val="00FE7F08"/>
    <w:rsid w:val="00FF5E86"/>
    <w:rsid w:val="00FF7D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E17305"/>
  <w14:defaultImageDpi w14:val="96"/>
  <w15:docId w15:val="{F2EB6522-F12C-4C1B-8A06-9EA88A4B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hAnsi="Times New Roman"/>
      <w:sz w:val="22"/>
      <w:szCs w:val="22"/>
      <w:lang w:val="de-DE" w:eastAsia="zh-CN"/>
    </w:rPr>
  </w:style>
  <w:style w:type="paragraph" w:styleId="Heading1">
    <w:name w:val="heading 1"/>
    <w:basedOn w:val="Normal"/>
    <w:next w:val="NormalKeep"/>
    <w:link w:val="Heading1Char"/>
    <w:uiPriority w:val="9"/>
    <w:qFormat/>
    <w:pPr>
      <w:keepNext/>
      <w:keepLines/>
      <w:ind w:left="561" w:hanging="561"/>
      <w:outlineLvl w:val="0"/>
    </w:pPr>
    <w:rPr>
      <w:b/>
      <w:bCs/>
    </w:rPr>
  </w:style>
  <w:style w:type="paragraph" w:styleId="Heading2">
    <w:name w:val="heading 2"/>
    <w:basedOn w:val="Normal"/>
    <w:next w:val="NormalKeep"/>
    <w:link w:val="Heading2Char"/>
    <w:uiPriority w:val="9"/>
    <w:unhideWhenUsed/>
    <w:qFormat/>
    <w:pPr>
      <w:keepNext/>
      <w:keepLines/>
      <w:ind w:left="562" w:hanging="562"/>
      <w:outlineLvl w:val="1"/>
    </w:pPr>
    <w:rPr>
      <w:b/>
      <w:bCs/>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DengXian" w:hAnsi="Calibri" w:cs="Arial"/>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DengXian" w:hAnsi="Calibri" w:cs="Arial"/>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DengXian" w:hAnsi="Calibri" w:cs="Arial"/>
      <w:b/>
      <w:bCs/>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DengXian" w:hAnsi="Calibri" w:cs="Arial"/>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eastAsia="DengXian" w:hAnsi="Calibri" w:cs="Arial"/>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libri Light" w:eastAsia="DengXian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b/>
      <w:bCs/>
      <w:sz w:val="22"/>
      <w:szCs w:val="22"/>
      <w:lang w:val="de-DE"/>
    </w:rPr>
  </w:style>
  <w:style w:type="paragraph" w:customStyle="1" w:styleId="NormalKeep">
    <w:name w:val="Normal Keep"/>
    <w:basedOn w:val="Normal"/>
    <w:link w:val="NormalKeepChar"/>
    <w:qFormat/>
    <w:pPr>
      <w:keepNext/>
    </w:pPr>
  </w:style>
  <w:style w:type="paragraph" w:customStyle="1" w:styleId="Bullet">
    <w:name w:val="Bullet •"/>
    <w:basedOn w:val="Normal"/>
    <w:qFormat/>
    <w:pPr>
      <w:numPr>
        <w:numId w:val="2"/>
      </w:numPr>
    </w:pPr>
  </w:style>
  <w:style w:type="paragraph" w:customStyle="1" w:styleId="Bullet2">
    <w:name w:val="Bullet • 2"/>
    <w:basedOn w:val="Normal"/>
    <w:qFormat/>
    <w:pPr>
      <w:numPr>
        <w:numId w:val="18"/>
      </w:numPr>
    </w:pPr>
  </w:style>
  <w:style w:type="paragraph" w:customStyle="1" w:styleId="Bullet-">
    <w:name w:val="Bullet -"/>
    <w:basedOn w:val="Normal"/>
    <w:qFormat/>
    <w:pPr>
      <w:numPr>
        <w:numId w:val="3"/>
      </w:numPr>
    </w:pPr>
  </w:style>
  <w:style w:type="paragraph" w:customStyle="1" w:styleId="Bullet-2">
    <w:name w:val="Bullet - 2"/>
    <w:basedOn w:val="Normal"/>
    <w:qFormat/>
    <w:pPr>
      <w:numPr>
        <w:numId w:val="20"/>
      </w:numPr>
    </w:pPr>
  </w:style>
  <w:style w:type="paragraph" w:styleId="NormalIndent">
    <w:name w:val="Normal Indent"/>
    <w:basedOn w:val="Normal"/>
    <w:uiPriority w:val="99"/>
    <w:unhideWhenUsed/>
    <w:pPr>
      <w:ind w:left="562"/>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locked/>
    <w:rPr>
      <w:rFonts w:ascii="Times New Roman" w:hAnsi="Times New Roman"/>
      <w:sz w:val="22"/>
    </w:rPr>
  </w:style>
  <w:style w:type="paragraph" w:styleId="Footer">
    <w:name w:val="footer"/>
    <w:basedOn w:val="Normal"/>
    <w:link w:val="FooterChar"/>
    <w:uiPriority w:val="99"/>
    <w:unhideWhenUsed/>
    <w:pPr>
      <w:jc w:val="center"/>
    </w:pPr>
    <w:rPr>
      <w:rFonts w:ascii="Arial" w:hAnsi="Arial" w:cs="Arial"/>
      <w:sz w:val="16"/>
      <w:szCs w:val="16"/>
    </w:rPr>
  </w:style>
  <w:style w:type="character" w:customStyle="1" w:styleId="FooterChar">
    <w:name w:val="Footer Char"/>
    <w:link w:val="Footer"/>
    <w:uiPriority w:val="99"/>
    <w:locked/>
    <w:rPr>
      <w:rFonts w:ascii="Arial" w:hAnsi="Arial" w:cs="Arial"/>
      <w:sz w:val="16"/>
      <w:szCs w:val="16"/>
      <w:lang w:val="de-DE"/>
    </w:rPr>
  </w:style>
  <w:style w:type="paragraph" w:customStyle="1" w:styleId="Heading1LAB">
    <w:name w:val="Heading 1 LAB"/>
    <w:basedOn w:val="Heading1"/>
    <w:next w:val="NormalKeep"/>
    <w:link w:val="Heading1LABChar"/>
    <w:qFormat/>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Pr>
      <w:i/>
      <w:iCs/>
    </w:rPr>
  </w:style>
  <w:style w:type="character" w:customStyle="1" w:styleId="Heading1LABChar">
    <w:name w:val="Heading 1 LAB Char"/>
    <w:link w:val="Heading1LAB"/>
    <w:locked/>
    <w:rPr>
      <w:rFonts w:ascii="Times New Roman" w:hAnsi="Times New Roman" w:cs="Times New Roman"/>
      <w:b/>
      <w:sz w:val="22"/>
      <w:szCs w:val="22"/>
      <w:lang w:val="de-DE" w:eastAsia="zh-CN"/>
    </w:rPr>
  </w:style>
  <w:style w:type="character" w:styleId="Strong">
    <w:name w:val="Strong"/>
    <w:uiPriority w:val="22"/>
    <w:qFormat/>
    <w:rPr>
      <w:b/>
      <w:bCs/>
    </w:rPr>
  </w:style>
  <w:style w:type="character" w:customStyle="1" w:styleId="Underline">
    <w:name w:val="Underline"/>
    <w:uiPriority w:val="1"/>
    <w:qFormat/>
    <w:rPr>
      <w:u w:val="single"/>
    </w:rPr>
  </w:style>
  <w:style w:type="character" w:customStyle="1" w:styleId="Superscript">
    <w:name w:val="Superscript"/>
    <w:uiPriority w:val="1"/>
    <w:qFormat/>
    <w:rPr>
      <w:vertAlign w:val="superscript"/>
    </w:rPr>
  </w:style>
  <w:style w:type="character" w:customStyle="1" w:styleId="Subscript">
    <w:name w:val="Subscript"/>
    <w:uiPriority w:val="1"/>
    <w:qFormat/>
    <w:rPr>
      <w:vertAlign w:val="subscript"/>
    </w:rPr>
  </w:style>
  <w:style w:type="paragraph" w:customStyle="1" w:styleId="HeadingStrong">
    <w:name w:val="Heading Strong"/>
    <w:basedOn w:val="NormalKeep"/>
    <w:next w:val="NormalKeep"/>
    <w:link w:val="HeadingStrongChar"/>
    <w:qFormat/>
    <w:pPr>
      <w:keepLines/>
    </w:pPr>
    <w:rPr>
      <w:b/>
      <w:bCs/>
    </w:rPr>
  </w:style>
  <w:style w:type="paragraph" w:customStyle="1" w:styleId="HeadingEmphasis">
    <w:name w:val="Heading Emphasis"/>
    <w:basedOn w:val="NormalKeep"/>
    <w:next w:val="NormalKeep"/>
    <w:qFormat/>
    <w:pPr>
      <w:keepLines/>
    </w:pPr>
    <w:rPr>
      <w:i/>
      <w:iCs/>
    </w:rPr>
  </w:style>
  <w:style w:type="character" w:customStyle="1" w:styleId="NormalKeepChar">
    <w:name w:val="Normal Keep Char"/>
    <w:link w:val="NormalKeep"/>
    <w:locked/>
    <w:rPr>
      <w:rFonts w:ascii="Times New Roman" w:hAnsi="Times New Roman"/>
      <w:sz w:val="22"/>
      <w:lang w:val="de-DE" w:eastAsia="zh-CN"/>
    </w:rPr>
  </w:style>
  <w:style w:type="character" w:customStyle="1" w:styleId="HeadingStrongChar">
    <w:name w:val="Heading Strong Char"/>
    <w:link w:val="HeadingStrong"/>
    <w:locked/>
    <w:rPr>
      <w:rFonts w:ascii="Times New Roman" w:hAnsi="Times New Roman"/>
      <w:b/>
      <w:bCs/>
      <w:sz w:val="22"/>
      <w:szCs w:val="22"/>
      <w:lang w:val="de-DE"/>
    </w:rPr>
  </w:style>
  <w:style w:type="paragraph" w:customStyle="1" w:styleId="HeadingUnderlined">
    <w:name w:val="Heading Underlined"/>
    <w:basedOn w:val="NormalKeep"/>
    <w:next w:val="NormalKeep"/>
    <w:link w:val="HeadingUnderlinedChar"/>
    <w:qFormat/>
    <w:pPr>
      <w:keepLines/>
    </w:pPr>
    <w:rPr>
      <w:u w:val="single"/>
    </w:rPr>
  </w:style>
  <w:style w:type="paragraph" w:styleId="Title">
    <w:name w:val="Title"/>
    <w:basedOn w:val="Heading1"/>
    <w:next w:val="NormalKeep"/>
    <w:link w:val="TitleChar"/>
    <w:uiPriority w:val="10"/>
    <w:qFormat/>
    <w:pPr>
      <w:ind w:left="0" w:firstLine="0"/>
      <w:jc w:val="center"/>
    </w:pPr>
  </w:style>
  <w:style w:type="character" w:customStyle="1" w:styleId="TitleChar">
    <w:name w:val="Title Char"/>
    <w:link w:val="Title"/>
    <w:uiPriority w:val="10"/>
    <w:locked/>
    <w:rPr>
      <w:rFonts w:ascii="Times New Roman" w:hAnsi="Times New Roman"/>
      <w:b/>
      <w:bCs/>
      <w:sz w:val="22"/>
      <w:szCs w:val="22"/>
      <w:lang w:val="de-DE"/>
    </w:rPr>
  </w:style>
  <w:style w:type="character" w:customStyle="1" w:styleId="HeadingUnderlinedChar">
    <w:name w:val="Heading Underlined Char"/>
    <w:link w:val="HeadingUnderlined"/>
    <w:locked/>
    <w:rPr>
      <w:rFonts w:ascii="Times New Roman" w:hAnsi="Times New Roman"/>
      <w:sz w:val="22"/>
      <w:u w:val="single"/>
      <w:lang w:val="de-DE" w:eastAsia="zh-CN"/>
    </w:rPr>
  </w:style>
  <w:style w:type="paragraph" w:customStyle="1" w:styleId="NormalCentred">
    <w:name w:val="Normal Centred"/>
    <w:basedOn w:val="Normal"/>
    <w:qFormat/>
    <w:pPr>
      <w:jc w:val="center"/>
    </w:pPr>
  </w:style>
  <w:style w:type="paragraph" w:customStyle="1" w:styleId="HeadingUnderlinedEmphasis">
    <w:name w:val="Heading Underlined Emphasis"/>
    <w:basedOn w:val="HeadingUnderlined"/>
    <w:next w:val="NormalKeep"/>
    <w:qFormat/>
    <w:rPr>
      <w:i/>
      <w:iCs/>
    </w:rPr>
  </w:style>
  <w:style w:type="paragraph" w:customStyle="1" w:styleId="NormalHanging">
    <w:name w:val="Normal Hanging"/>
    <w:basedOn w:val="Normal"/>
    <w:qFormat/>
    <w:pPr>
      <w:ind w:left="562" w:hanging="562"/>
    </w:pPr>
  </w:style>
  <w:style w:type="paragraph" w:customStyle="1" w:styleId="Heading1Indent">
    <w:name w:val="Heading 1 Indent"/>
    <w:basedOn w:val="Heading1"/>
    <w:next w:val="NormalKeep"/>
    <w:qFormat/>
    <w:pPr>
      <w:ind w:left="1685" w:hanging="562"/>
    </w:pPr>
  </w:style>
  <w:style w:type="paragraph" w:customStyle="1" w:styleId="HeadingStrongEmphasis">
    <w:name w:val="Heading Strong Emphasis"/>
    <w:basedOn w:val="HeadingStrong"/>
    <w:next w:val="NormalKeep"/>
    <w:qFormat/>
    <w:rPr>
      <w:i/>
      <w:iCs/>
    </w:rPr>
  </w:style>
  <w:style w:type="paragraph" w:customStyle="1" w:styleId="HeadingStrLAB">
    <w:name w:val="Heading Str LAB"/>
    <w:basedOn w:val="HeadingStrong"/>
    <w:next w:val="Normal"/>
    <w:qFormat/>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pPr>
      <w:ind w:left="288" w:hanging="288"/>
    </w:pPr>
  </w:style>
  <w:style w:type="character" w:styleId="Hyperlink">
    <w:name w:val="Hyperlink"/>
    <w:uiPriority w:val="99"/>
    <w:unhideWhenUsed/>
    <w:rPr>
      <w:color w:val="0000FF"/>
      <w:u w:val="single"/>
    </w:rPr>
  </w:style>
  <w:style w:type="paragraph" w:customStyle="1" w:styleId="TableTitle">
    <w:name w:val="Table Title"/>
    <w:basedOn w:val="Heading1"/>
    <w:next w:val="NormalKeep"/>
    <w:qFormat/>
    <w:pPr>
      <w:ind w:left="1138" w:hanging="113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Pr>
      <w:rFonts w:ascii="Times New Roman" w:hAnsi="Times New Roman"/>
    </w:rPr>
    <w:tblPr>
      <w:tblCellMar>
        <w:left w:w="0" w:type="dxa"/>
        <w:right w:w="0" w:type="dxa"/>
      </w:tblCellMar>
    </w:tblPr>
    <w:trPr>
      <w:cantSplit/>
    </w:trPr>
  </w:style>
  <w:style w:type="table" w:customStyle="1" w:styleId="Standard1">
    <w:name w:val="Standard1"/>
    <w:basedOn w:val="TableNormal"/>
    <w:uiPriority w:val="99"/>
    <w:rPr>
      <w:rFonts w:ascii="Times New Roman" w:hAnsi="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Pr>
    <w:trPr>
      <w:cantSplit/>
    </w:trPr>
  </w:style>
  <w:style w:type="character" w:customStyle="1" w:styleId="EmphasisUnderline">
    <w:name w:val="Emphasis Underline"/>
    <w:uiPriority w:val="1"/>
    <w:qFormat/>
    <w:rPr>
      <w:i/>
      <w:iCs/>
      <w:u w:val="single"/>
    </w:rPr>
  </w:style>
  <w:style w:type="character" w:customStyle="1" w:styleId="Heading2Char">
    <w:name w:val="Heading 2 Char"/>
    <w:link w:val="Heading2"/>
    <w:uiPriority w:val="9"/>
    <w:rPr>
      <w:rFonts w:ascii="Times New Roman" w:hAnsi="Times New Roman"/>
      <w:b/>
      <w:bCs/>
      <w:sz w:val="22"/>
      <w:szCs w:val="22"/>
      <w:lang w:val="de-D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de-DE"/>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rFonts w:ascii="Times New Roman" w:hAnsi="Times New Roman"/>
      <w:sz w:val="22"/>
      <w:szCs w:val="22"/>
      <w:lang w:val="de-DE"/>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ascii="Times New Roman" w:hAnsi="Times New Roman"/>
      <w:sz w:val="22"/>
      <w:szCs w:val="22"/>
      <w:lang w:val="de-D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ascii="Times New Roman" w:hAnsi="Times New Roman"/>
      <w:sz w:val="16"/>
      <w:szCs w:val="16"/>
      <w:lang w:val="de-DE"/>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link w:val="BodyTextFirstIndent"/>
    <w:uiPriority w:val="99"/>
    <w:semiHidden/>
    <w:rPr>
      <w:rFonts w:ascii="Times New Roman" w:hAnsi="Times New Roman"/>
      <w:sz w:val="22"/>
      <w:szCs w:val="22"/>
      <w:lang w:val="de-DE"/>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link w:val="BodyTextIndent"/>
    <w:uiPriority w:val="99"/>
    <w:semiHidden/>
    <w:rPr>
      <w:rFonts w:ascii="Times New Roman" w:hAnsi="Times New Roman"/>
      <w:sz w:val="22"/>
      <w:szCs w:val="22"/>
      <w:lang w:val="de-DE"/>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rFonts w:ascii="Times New Roman" w:hAnsi="Times New Roman"/>
      <w:sz w:val="22"/>
      <w:szCs w:val="22"/>
      <w:lang w:val="de-DE"/>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link w:val="BodyTextIndent2"/>
    <w:uiPriority w:val="99"/>
    <w:semiHidden/>
    <w:rPr>
      <w:rFonts w:ascii="Times New Roman" w:hAnsi="Times New Roman"/>
      <w:sz w:val="22"/>
      <w:szCs w:val="22"/>
      <w:lang w:val="de-DE"/>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link w:val="BodyTextIndent3"/>
    <w:uiPriority w:val="99"/>
    <w:semiHidden/>
    <w:rPr>
      <w:rFonts w:ascii="Times New Roman" w:hAnsi="Times New Roman"/>
      <w:sz w:val="16"/>
      <w:szCs w:val="16"/>
      <w:lang w:val="de-DE"/>
    </w:rPr>
  </w:style>
  <w:style w:type="paragraph" w:styleId="Caption">
    <w:name w:val="caption"/>
    <w:aliases w:val="Lisiting"/>
    <w:basedOn w:val="Normal"/>
    <w:next w:val="Normal"/>
    <w:uiPriority w:val="99"/>
    <w:unhideWhenUsed/>
    <w:qFormat/>
    <w:rPr>
      <w:b/>
      <w:bCs/>
      <w:sz w:val="20"/>
      <w:szCs w:val="20"/>
    </w:rPr>
  </w:style>
  <w:style w:type="paragraph" w:styleId="Closing">
    <w:name w:val="Closing"/>
    <w:basedOn w:val="Normal"/>
    <w:link w:val="ClosingChar"/>
    <w:uiPriority w:val="99"/>
    <w:semiHidden/>
    <w:unhideWhenUsed/>
    <w:pPr>
      <w:ind w:left="4320"/>
    </w:pPr>
  </w:style>
  <w:style w:type="character" w:customStyle="1" w:styleId="ClosingChar">
    <w:name w:val="Closing Char"/>
    <w:link w:val="Closing"/>
    <w:uiPriority w:val="99"/>
    <w:semiHidden/>
    <w:rPr>
      <w:rFonts w:ascii="Times New Roman" w:hAnsi="Times New Roman"/>
      <w:sz w:val="22"/>
      <w:szCs w:val="22"/>
      <w:lang w:val="de-D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Times New Roman" w:hAnsi="Times New Roman"/>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val="de-DE"/>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ascii="Times New Roman" w:hAnsi="Times New Roman"/>
      <w:sz w:val="22"/>
      <w:szCs w:val="22"/>
      <w:lang w:val="de-DE"/>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link w:val="DocumentMap"/>
    <w:uiPriority w:val="99"/>
    <w:semiHidden/>
    <w:rPr>
      <w:rFonts w:ascii="Segoe UI" w:hAnsi="Segoe UI" w:cs="Segoe UI"/>
      <w:sz w:val="16"/>
      <w:szCs w:val="16"/>
      <w:lang w:val="de-DE"/>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ascii="Times New Roman" w:hAnsi="Times New Roman"/>
      <w:sz w:val="22"/>
      <w:szCs w:val="22"/>
      <w:lang w:val="de-D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hAnsi="Times New Roman"/>
      <w:lang w:val="de-DE"/>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uiPriority w:val="99"/>
    <w:semiHidden/>
    <w:unhideWhenUsed/>
    <w:rPr>
      <w:rFonts w:ascii="Calibri Light" w:eastAsia="DengXian Light" w:hAnsi="Calibri Light"/>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ascii="Times New Roman" w:hAnsi="Times New Roman"/>
      <w:lang w:val="de-DE"/>
    </w:rPr>
  </w:style>
  <w:style w:type="character" w:customStyle="1" w:styleId="Heading3Char">
    <w:name w:val="Heading 3 Char"/>
    <w:link w:val="Heading3"/>
    <w:uiPriority w:val="9"/>
    <w:semiHidden/>
    <w:rPr>
      <w:rFonts w:ascii="Calibri Light" w:eastAsia="DengXian Light" w:hAnsi="Calibri Light" w:cs="Times New Roman"/>
      <w:b/>
      <w:bCs/>
      <w:sz w:val="26"/>
      <w:szCs w:val="26"/>
      <w:lang w:val="de-DE"/>
    </w:rPr>
  </w:style>
  <w:style w:type="character" w:customStyle="1" w:styleId="Heading4Char">
    <w:name w:val="Heading 4 Char"/>
    <w:link w:val="Heading4"/>
    <w:uiPriority w:val="9"/>
    <w:semiHidden/>
    <w:rPr>
      <w:rFonts w:ascii="Calibri" w:eastAsia="DengXian" w:hAnsi="Calibri" w:cs="Arial"/>
      <w:b/>
      <w:bCs/>
      <w:sz w:val="28"/>
      <w:szCs w:val="28"/>
      <w:lang w:val="de-DE"/>
    </w:rPr>
  </w:style>
  <w:style w:type="character" w:customStyle="1" w:styleId="Heading5Char">
    <w:name w:val="Heading 5 Char"/>
    <w:link w:val="Heading5"/>
    <w:uiPriority w:val="9"/>
    <w:semiHidden/>
    <w:rPr>
      <w:rFonts w:ascii="Calibri" w:eastAsia="DengXian" w:hAnsi="Calibri" w:cs="Arial"/>
      <w:b/>
      <w:bCs/>
      <w:i/>
      <w:iCs/>
      <w:sz w:val="26"/>
      <w:szCs w:val="26"/>
      <w:lang w:val="de-DE"/>
    </w:rPr>
  </w:style>
  <w:style w:type="character" w:customStyle="1" w:styleId="Heading6Char">
    <w:name w:val="Heading 6 Char"/>
    <w:link w:val="Heading6"/>
    <w:uiPriority w:val="9"/>
    <w:semiHidden/>
    <w:rPr>
      <w:rFonts w:ascii="Calibri" w:eastAsia="DengXian" w:hAnsi="Calibri" w:cs="Arial"/>
      <w:b/>
      <w:bCs/>
      <w:sz w:val="22"/>
      <w:szCs w:val="22"/>
      <w:lang w:val="de-DE"/>
    </w:rPr>
  </w:style>
  <w:style w:type="character" w:customStyle="1" w:styleId="Heading7Char">
    <w:name w:val="Heading 7 Char"/>
    <w:link w:val="Heading7"/>
    <w:uiPriority w:val="9"/>
    <w:semiHidden/>
    <w:rPr>
      <w:rFonts w:ascii="Calibri" w:eastAsia="DengXian" w:hAnsi="Calibri" w:cs="Arial"/>
      <w:sz w:val="24"/>
      <w:szCs w:val="24"/>
      <w:lang w:val="de-DE"/>
    </w:rPr>
  </w:style>
  <w:style w:type="character" w:customStyle="1" w:styleId="Heading8Char">
    <w:name w:val="Heading 8 Char"/>
    <w:link w:val="Heading8"/>
    <w:uiPriority w:val="9"/>
    <w:semiHidden/>
    <w:rPr>
      <w:rFonts w:ascii="Calibri" w:eastAsia="DengXian" w:hAnsi="Calibri" w:cs="Arial"/>
      <w:i/>
      <w:iCs/>
      <w:sz w:val="24"/>
      <w:szCs w:val="24"/>
      <w:lang w:val="de-DE"/>
    </w:rPr>
  </w:style>
  <w:style w:type="character" w:customStyle="1" w:styleId="Heading9Char">
    <w:name w:val="Heading 9 Char"/>
    <w:link w:val="Heading9"/>
    <w:uiPriority w:val="9"/>
    <w:semiHidden/>
    <w:rPr>
      <w:rFonts w:ascii="Calibri Light" w:eastAsia="DengXian Light" w:hAnsi="Calibri Light" w:cs="Times New Roman"/>
      <w:sz w:val="22"/>
      <w:szCs w:val="22"/>
      <w:lang w:val="de-DE"/>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ascii="Times New Roman" w:hAnsi="Times New Roman"/>
      <w:i/>
      <w:iCs/>
      <w:sz w:val="22"/>
      <w:szCs w:val="22"/>
      <w:lang w:val="de-DE"/>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val="de-D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libri Light" w:eastAsia="DengXian Light" w:hAnsi="Calibri Light"/>
      <w:b/>
      <w:bC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rFonts w:ascii="Times New Roman" w:hAnsi="Times New Roman"/>
      <w:i/>
      <w:iCs/>
      <w:color w:val="4472C4"/>
      <w:sz w:val="22"/>
      <w:szCs w:val="22"/>
      <w:lang w:val="de-DE"/>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Bullet5">
    <w:name w:val="List Bullet 5"/>
    <w:basedOn w:val="Normal"/>
    <w:uiPriority w:val="99"/>
    <w:semiHidden/>
    <w:unhideWhenUsed/>
    <w:pPr>
      <w:numPr>
        <w:numId w:val="8"/>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ListNumber5">
    <w:name w:val="List Number 5"/>
    <w:basedOn w:val="Normal"/>
    <w:uiPriority w:val="99"/>
    <w:semiHidden/>
    <w:unhideWhenUsed/>
    <w:pPr>
      <w:numPr>
        <w:numId w:val="13"/>
      </w:numPr>
      <w:contextualSpacing/>
    </w:pPr>
  </w:style>
  <w:style w:type="paragraph" w:styleId="ListParagraph">
    <w:name w:val="List Paragraph"/>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de-DE" w:eastAsia="zh-CN"/>
    </w:rPr>
  </w:style>
  <w:style w:type="character" w:customStyle="1" w:styleId="MacroTextChar">
    <w:name w:val="Macro Text Char"/>
    <w:link w:val="MacroText"/>
    <w:uiPriority w:val="99"/>
    <w:semiHidden/>
    <w:rPr>
      <w:rFonts w:ascii="Courier New" w:hAnsi="Courier New" w:cs="Courier New"/>
      <w:lang w:val="de-DE"/>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DengXian Light" w:hAnsi="Calibri Light"/>
      <w:sz w:val="24"/>
      <w:szCs w:val="24"/>
    </w:rPr>
  </w:style>
  <w:style w:type="character" w:customStyle="1" w:styleId="MessageHeaderChar">
    <w:name w:val="Message Header Char"/>
    <w:link w:val="MessageHeader"/>
    <w:uiPriority w:val="99"/>
    <w:semiHidden/>
    <w:rPr>
      <w:rFonts w:ascii="Calibri Light" w:eastAsia="DengXian Light" w:hAnsi="Calibri Light" w:cs="Times New Roman"/>
      <w:sz w:val="24"/>
      <w:szCs w:val="24"/>
      <w:shd w:val="pct20" w:color="auto" w:fill="auto"/>
      <w:lang w:val="de-DE"/>
    </w:rPr>
  </w:style>
  <w:style w:type="paragraph" w:styleId="NoSpacing">
    <w:name w:val="No Spacing"/>
    <w:uiPriority w:val="1"/>
    <w:qFormat/>
    <w:pPr>
      <w:suppressAutoHyphens/>
    </w:pPr>
    <w:rPr>
      <w:rFonts w:ascii="Times New Roman" w:hAnsi="Times New Roman"/>
      <w:sz w:val="22"/>
      <w:szCs w:val="22"/>
      <w:lang w:val="de-DE" w:eastAsia="zh-CN"/>
    </w:rPr>
  </w:style>
  <w:style w:type="paragraph" w:styleId="NormalWeb">
    <w:name w:val="Normal (Web)"/>
    <w:basedOn w:val="Normal"/>
    <w:uiPriority w:val="99"/>
    <w:semiHidden/>
    <w:unhideWhenUsed/>
    <w:rPr>
      <w:sz w:val="24"/>
      <w:szCs w:val="24"/>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ascii="Times New Roman" w:hAnsi="Times New Roman"/>
      <w:sz w:val="22"/>
      <w:szCs w:val="22"/>
      <w:lang w:val="de-DE"/>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val="de-DE"/>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ascii="Times New Roman" w:hAnsi="Times New Roman"/>
      <w:i/>
      <w:iCs/>
      <w:color w:val="404040"/>
      <w:sz w:val="22"/>
      <w:szCs w:val="22"/>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ascii="Times New Roman" w:hAnsi="Times New Roman"/>
      <w:sz w:val="22"/>
      <w:szCs w:val="22"/>
      <w:lang w:val="de-DE"/>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link w:val="Signature"/>
    <w:uiPriority w:val="99"/>
    <w:semiHidden/>
    <w:rPr>
      <w:rFonts w:ascii="Times New Roman" w:hAnsi="Times New Roman"/>
      <w:sz w:val="22"/>
      <w:szCs w:val="22"/>
      <w:lang w:val="de-DE"/>
    </w:rPr>
  </w:style>
  <w:style w:type="paragraph" w:styleId="Subtitle">
    <w:name w:val="Subtitle"/>
    <w:basedOn w:val="Normal"/>
    <w:next w:val="Normal"/>
    <w:link w:val="SubtitleChar"/>
    <w:uiPriority w:val="11"/>
    <w:qFormat/>
    <w:pPr>
      <w:spacing w:after="60"/>
      <w:jc w:val="center"/>
      <w:outlineLvl w:val="1"/>
    </w:pPr>
    <w:rPr>
      <w:rFonts w:ascii="Calibri Light" w:eastAsia="DengXian Light" w:hAnsi="Calibri Light"/>
      <w:sz w:val="24"/>
      <w:szCs w:val="24"/>
    </w:rPr>
  </w:style>
  <w:style w:type="character" w:customStyle="1" w:styleId="SubtitleChar">
    <w:name w:val="Subtitle Char"/>
    <w:link w:val="Subtitle"/>
    <w:uiPriority w:val="11"/>
    <w:rPr>
      <w:rFonts w:ascii="Calibri Light" w:eastAsia="DengXian Light" w:hAnsi="Calibri Light" w:cs="Times New Roman"/>
      <w:sz w:val="24"/>
      <w:szCs w:val="24"/>
      <w:lang w:val="de-DE"/>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Calibri Light" w:eastAsia="DengXian Light" w:hAnsi="Calibri Light"/>
      <w:b/>
      <w:bCs/>
      <w:sz w:val="24"/>
      <w:szCs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TOCHeading">
    <w:name w:val="TOC Heading"/>
    <w:basedOn w:val="Heading1"/>
    <w:next w:val="Normal"/>
    <w:uiPriority w:val="39"/>
    <w:semiHidden/>
    <w:unhideWhenUsed/>
    <w:qFormat/>
    <w:pPr>
      <w:keepLines w:val="0"/>
      <w:spacing w:before="240" w:after="60"/>
      <w:ind w:left="0" w:firstLine="0"/>
      <w:outlineLvl w:val="9"/>
    </w:pPr>
    <w:rPr>
      <w:rFonts w:ascii="Calibri Light" w:eastAsia="DengXian Light" w:hAnsi="Calibri Light"/>
      <w:kern w:val="32"/>
      <w:sz w:val="32"/>
      <w:szCs w:val="32"/>
    </w:rPr>
  </w:style>
  <w:style w:type="paragraph" w:customStyle="1" w:styleId="HeadingStrongCentred">
    <w:name w:val="Heading Strong Centred"/>
    <w:basedOn w:val="HeadingStrong"/>
    <w:qFormat/>
    <w:pPr>
      <w:jc w:val="center"/>
    </w:pPr>
  </w:style>
  <w:style w:type="character" w:customStyle="1" w:styleId="UnresolvedMention1">
    <w:name w:val="Unresolved Mention1"/>
    <w:uiPriority w:val="99"/>
    <w:semiHidden/>
    <w:unhideWhenUsed/>
    <w:rPr>
      <w:color w:val="605E5C"/>
      <w:shd w:val="clear" w:color="auto" w:fill="E1DFDD"/>
    </w:rPr>
  </w:style>
  <w:style w:type="paragraph" w:customStyle="1" w:styleId="TitleA">
    <w:name w:val="Title A"/>
    <w:basedOn w:val="Title"/>
    <w:qFormat/>
  </w:style>
  <w:style w:type="paragraph" w:customStyle="1" w:styleId="TitleB">
    <w:name w:val="Title B"/>
    <w:basedOn w:val="Heading1"/>
    <w:qFormat/>
  </w:style>
  <w:style w:type="character" w:customStyle="1" w:styleId="StrongUnderline">
    <w:name w:val="Strong Underline"/>
    <w:uiPriority w:val="1"/>
    <w:qFormat/>
    <w:rPr>
      <w:b/>
      <w:bCs/>
      <w:u w:val="single"/>
    </w:rPr>
  </w:style>
  <w:style w:type="character" w:customStyle="1" w:styleId="EmphasisStrongUnd">
    <w:name w:val="Emphasis Strong Und"/>
    <w:uiPriority w:val="1"/>
    <w:qFormat/>
    <w:rPr>
      <w:b/>
      <w:bCs/>
      <w:i/>
      <w:iCs/>
      <w:u w:val="single"/>
    </w:rPr>
  </w:style>
  <w:style w:type="paragraph" w:customStyle="1" w:styleId="normal10pt">
    <w:name w:val="normal_10pt"/>
    <w:basedOn w:val="Normal"/>
    <w:qFormat/>
    <w:rPr>
      <w:sz w:val="20"/>
    </w:rPr>
  </w:style>
  <w:style w:type="paragraph" w:customStyle="1" w:styleId="Normal10pt0">
    <w:name w:val="Normal 10pt"/>
    <w:basedOn w:val="Normal"/>
    <w:qFormat/>
    <w:pPr>
      <w:ind w:left="142" w:hanging="142"/>
    </w:pPr>
    <w:rPr>
      <w:sz w:val="20"/>
    </w:rPr>
  </w:style>
  <w:style w:type="character" w:styleId="CommentReference">
    <w:name w:val="annotation reference"/>
    <w:unhideWhenUsed/>
    <w:rsid w:val="00B346BA"/>
    <w:rPr>
      <w:sz w:val="16"/>
      <w:szCs w:val="16"/>
    </w:rPr>
  </w:style>
  <w:style w:type="paragraph" w:customStyle="1" w:styleId="ParaText">
    <w:name w:val="Para Text"/>
    <w:basedOn w:val="Normal"/>
    <w:qFormat/>
    <w:rsid w:val="008D58C1"/>
    <w:pPr>
      <w:suppressAutoHyphens w:val="0"/>
      <w:spacing w:before="160" w:after="200" w:line="320" w:lineRule="exact"/>
    </w:pPr>
    <w:rPr>
      <w:rFonts w:eastAsia="Calibri"/>
      <w:sz w:val="24"/>
      <w:szCs w:val="24"/>
      <w:lang w:val="en-US" w:eastAsia="en-US"/>
    </w:rPr>
  </w:style>
  <w:style w:type="paragraph" w:customStyle="1" w:styleId="TableFigureNote">
    <w:name w:val="Table/Figure Note"/>
    <w:basedOn w:val="Normal"/>
    <w:link w:val="TableFigureNoteChar"/>
    <w:rsid w:val="008D58C1"/>
    <w:pPr>
      <w:suppressAutoHyphens w:val="0"/>
      <w:spacing w:before="40" w:line="220" w:lineRule="exact"/>
      <w:ind w:left="144" w:hanging="144"/>
      <w:jc w:val="both"/>
    </w:pPr>
    <w:rPr>
      <w:rFonts w:eastAsia="Times New Roman"/>
      <w:sz w:val="20"/>
      <w:szCs w:val="24"/>
      <w:lang w:val="en-US" w:eastAsia="en-US"/>
    </w:rPr>
  </w:style>
  <w:style w:type="character" w:customStyle="1" w:styleId="TableFigureNoteChar">
    <w:name w:val="Table/Figure Note Char"/>
    <w:link w:val="TableFigureNote"/>
    <w:locked/>
    <w:rsid w:val="008D58C1"/>
    <w:rPr>
      <w:rFonts w:ascii="Times New Roman" w:eastAsia="Times New Roman" w:hAnsi="Times New Roman"/>
      <w:szCs w:val="24"/>
      <w:lang w:val="en-US" w:eastAsia="en-US"/>
    </w:rPr>
  </w:style>
  <w:style w:type="paragraph" w:styleId="Revision">
    <w:name w:val="Revision"/>
    <w:hidden/>
    <w:uiPriority w:val="99"/>
    <w:semiHidden/>
    <w:rsid w:val="00F27C3E"/>
    <w:rPr>
      <w:rFonts w:ascii="Times New Roman" w:hAnsi="Times New Roman"/>
      <w:sz w:val="22"/>
      <w:szCs w:val="22"/>
      <w:lang w:val="de-DE" w:eastAsia="zh-CN"/>
    </w:rPr>
  </w:style>
  <w:style w:type="character" w:customStyle="1" w:styleId="UnresolvedMention2">
    <w:name w:val="Unresolved Mention2"/>
    <w:basedOn w:val="DefaultParagraphFont"/>
    <w:uiPriority w:val="99"/>
    <w:semiHidden/>
    <w:unhideWhenUsed/>
    <w:rsid w:val="006D347B"/>
    <w:rPr>
      <w:color w:val="605E5C"/>
      <w:shd w:val="clear" w:color="auto" w:fill="E1DFDD"/>
    </w:rPr>
  </w:style>
  <w:style w:type="character" w:styleId="UnresolvedMention">
    <w:name w:val="Unresolved Mention"/>
    <w:basedOn w:val="DefaultParagraphFont"/>
    <w:uiPriority w:val="99"/>
    <w:semiHidden/>
    <w:unhideWhenUsed/>
    <w:rsid w:val="0071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98103">
      <w:bodyDiv w:val="1"/>
      <w:marLeft w:val="0"/>
      <w:marRight w:val="0"/>
      <w:marTop w:val="0"/>
      <w:marBottom w:val="0"/>
      <w:divBdr>
        <w:top w:val="none" w:sz="0" w:space="0" w:color="auto"/>
        <w:left w:val="none" w:sz="0" w:space="0" w:color="auto"/>
        <w:bottom w:val="none" w:sz="0" w:space="0" w:color="auto"/>
        <w:right w:val="none" w:sz="0" w:space="0" w:color="auto"/>
      </w:divBdr>
    </w:div>
    <w:div w:id="263224329">
      <w:bodyDiv w:val="1"/>
      <w:marLeft w:val="0"/>
      <w:marRight w:val="0"/>
      <w:marTop w:val="0"/>
      <w:marBottom w:val="0"/>
      <w:divBdr>
        <w:top w:val="none" w:sz="0" w:space="0" w:color="auto"/>
        <w:left w:val="none" w:sz="0" w:space="0" w:color="auto"/>
        <w:bottom w:val="none" w:sz="0" w:space="0" w:color="auto"/>
        <w:right w:val="none" w:sz="0" w:space="0" w:color="auto"/>
      </w:divBdr>
    </w:div>
    <w:div w:id="297222753">
      <w:bodyDiv w:val="1"/>
      <w:marLeft w:val="0"/>
      <w:marRight w:val="0"/>
      <w:marTop w:val="0"/>
      <w:marBottom w:val="0"/>
      <w:divBdr>
        <w:top w:val="none" w:sz="0" w:space="0" w:color="auto"/>
        <w:left w:val="none" w:sz="0" w:space="0" w:color="auto"/>
        <w:bottom w:val="none" w:sz="0" w:space="0" w:color="auto"/>
        <w:right w:val="none" w:sz="0" w:space="0" w:color="auto"/>
      </w:divBdr>
    </w:div>
    <w:div w:id="202513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basg.gv.at/"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www.pe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i.de" TargetMode="External"/><Relationship Id="rId24" Type="http://schemas.openxmlformats.org/officeDocument/2006/relationships/image" Target="media/image11.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www.basg.gv.at/"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0B7FD60883B4595285877F6B2DA8F" ma:contentTypeVersion="7" ma:contentTypeDescription="Create a new document." ma:contentTypeScope="" ma:versionID="606fa08180539d0a690751969fa4b4c2">
  <xsd:schema xmlns:xsd="http://www.w3.org/2001/XMLSchema" xmlns:xs="http://www.w3.org/2001/XMLSchema" xmlns:p="http://schemas.microsoft.com/office/2006/metadata/properties" xmlns:ns2="7f8758ac-3d05-471f-b31d-1acee670e100" xmlns:ns3="8078488c-0acb-4e0f-be5f-8fa19057aa1b" targetNamespace="http://schemas.microsoft.com/office/2006/metadata/properties" ma:root="true" ma:fieldsID="2bb576ecf2b33f7379ffbe37d5850ee9" ns2:_="" ns3:_="">
    <xsd:import namespace="7f8758ac-3d05-471f-b31d-1acee670e100"/>
    <xsd:import namespace="8078488c-0acb-4e0f-be5f-8fa19057aa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758ac-3d05-471f-b31d-1acee670e1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8488c-0acb-4e0f-be5f-8fa19057aa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f8758ac-3d05-471f-b31d-1acee670e100">
      <UserInfo>
        <DisplayName/>
        <AccountId xsi:nil="true"/>
        <AccountType/>
      </UserInfo>
    </SharedWithUsers>
  </documentManagement>
</p:properties>
</file>

<file path=customXml/item3.xml><?xml version="1.0" encoding="utf-8"?>
<f:fields xmlns:f="http://schemas.fabasoft.com/folio/2007/fields">
  <f:record>
    <f:field ref="objname" par="" text="ema-combined-h-3876-de-tracked_DE_PEI-comments" edit="true"/>
    <f:field ref="objsubject" par="" text="" edit="true"/>
    <f:field ref="objcreatedby" par="" text="Öppling, Volker, Dr."/>
    <f:field ref="objcreatedat" par="" date="2022-07-27T14:46:20" text="27.07.2022 14:46:20"/>
    <f:field ref="objchangedby" par="" text="Öppling, Volker, Dr."/>
    <f:field ref="objmodifiedat" par="" date="2022-07-27T14:46:23" text="27.07.2022 14:46:23"/>
    <f:field ref="doc_FSCFOLIO_1_1001_FieldDocumentNumber" par="" text=""/>
    <f:field ref="doc_FSCFOLIO_1_1001_FieldSubject" par="" text="" edit="true"/>
    <f:field ref="FSCFOLIO_1_1001_FieldCurrentUser" par="" text="Dr. Volker Öppling"/>
    <f:field ref="CCAPRECONFIG_15_1001_Objektname" par="" text="ema-combined-h-3876-de-tracked_DE_PEI-comments" edit="true"/>
    <f:field ref="DEPRECONFIG_15_1001_Objektname" par="" text="ema-combined-h-3876-de-tracked_DE_PEI-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9330A-08CB-4711-8F84-16ECE482B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758ac-3d05-471f-b31d-1acee670e100"/>
    <ds:schemaRef ds:uri="8078488c-0acb-4e0f-be5f-8fa19057a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2D650-A778-4109-9331-1E7A73117965}">
  <ds:schemaRefs>
    <ds:schemaRef ds:uri="http://schemas.microsoft.com/office/2006/metadata/properties"/>
    <ds:schemaRef ds:uri="http://schemas.microsoft.com/office/infopath/2007/PartnerControls"/>
    <ds:schemaRef ds:uri="7f8758ac-3d05-471f-b31d-1acee670e100"/>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07F606A1-DB0E-4565-8338-B9197305F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7310</Words>
  <Characters>47958</Characters>
  <Application>Microsoft Office Word</Application>
  <DocSecurity>0</DocSecurity>
  <PresentationFormat/>
  <Lines>399</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Vaxchora, INN-Vibrio cholerae</vt:lpstr>
      <vt:lpstr>Vaxchora, INN-Vibrio cholerae</vt:lpstr>
    </vt:vector>
  </TitlesOfParts>
  <Manager/>
  <Company/>
  <LinksUpToDate>false</LinksUpToDate>
  <CharactersWithSpaces>55158</CharactersWithSpaces>
  <SharedDoc>false</SharedDoc>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Vaxchora, Cholera Vaccine (recombinant, live, oral)</dc:title>
  <dc:subject>EPAR</dc:subject>
  <dc:creator>CHMP</dc:creator>
  <cp:keywords>Vaxchora, Cholera Vaccine (recombinant, live, oral)</cp:keywords>
  <dc:description/>
  <cp:lastModifiedBy>Estelle Truchet</cp:lastModifiedBy>
  <cp:revision>5</cp:revision>
  <dcterms:created xsi:type="dcterms:W3CDTF">2024-12-08T13:40:00Z</dcterms:created>
  <dcterms:modified xsi:type="dcterms:W3CDTF">2025-01-20T15:48:00Z</dcterms:modified>
  <cp:category/>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LOCAL@2220.100:LastSignProcedureOE">
    <vt:lpwstr/>
  </property>
  <property fmtid="{D5CDD505-2E9C-101B-9397-08002B2CF9AE}" pid="3" name="FSC#LOCAL@2220.100:qm_override_fd">
    <vt:lpwstr/>
  </property>
  <property fmtid="{D5CDD505-2E9C-101B-9397-08002B2CF9AE}" pid="4" name="FSC#LOCAL@2220.100:qm_file_generated_at">
    <vt:lpwstr>27.07.2022</vt:lpwstr>
  </property>
  <property fmtid="{D5CDD505-2E9C-101B-9397-08002B2CF9AE}" pid="5" name="FSC#LOCAL@2220.100:LastFinalSignAcep">
    <vt:lpwstr/>
  </property>
  <property fmtid="{D5CDD505-2E9C-101B-9397-08002B2CF9AE}" pid="6" name="FSC#LOCAL@2220.100:LastSignApproveApplication">
    <vt:lpwstr/>
  </property>
  <property fmtid="{D5CDD505-2E9C-101B-9397-08002B2CF9AE}" pid="7" name="FSC#LOCAL@2220.100:LastSignApproveApplicationRestricted">
    <vt:lpwstr/>
  </property>
  <property fmtid="{D5CDD505-2E9C-101B-9397-08002B2CF9AE}" pid="8" name="FSC#LOCAL@2220.100:LastSignApproveApplicationAt">
    <vt:lpwstr/>
  </property>
  <property fmtid="{D5CDD505-2E9C-101B-9397-08002B2CF9AE}" pid="9" name="FSC#LOCAL@2220.100:LastSignApproveApplicationRestrictedAt">
    <vt:lpwstr/>
  </property>
  <property fmtid="{D5CDD505-2E9C-101B-9397-08002B2CF9AE}" pid="10" name="FSC#LOCAL@2220.100:qm_document_key_old_fd">
    <vt:lpwstr/>
  </property>
  <property fmtid="{D5CDD505-2E9C-101B-9397-08002B2CF9AE}" pid="11" name="FSC#LOCAL@2220.100:qm_creator_fd">
    <vt:lpwstr/>
  </property>
  <property fmtid="{D5CDD505-2E9C-101B-9397-08002B2CF9AE}" pid="12" name="FSC#LOCAL@2220.100:qm_2LastFinalSignFileAt">
    <vt:lpwstr/>
  </property>
  <property fmtid="{D5CDD505-2E9C-101B-9397-08002B2CF9AE}" pid="13" name="FSC#LOCAL@2220.100:LastFinalSignFileAt">
    <vt:lpwstr/>
  </property>
  <property fmtid="{D5CDD505-2E9C-101B-9397-08002B2CF9AE}" pid="14" name="FSC#LOCAL@2220.100:LastSignProcedure">
    <vt:lpwstr/>
  </property>
  <property fmtid="{D5CDD505-2E9C-101B-9397-08002B2CF9AE}" pid="15" name="FSC#LOCAL@2220.100:LastFinalSignDocument">
    <vt:lpwstr/>
  </property>
  <property fmtid="{D5CDD505-2E9C-101B-9397-08002B2CF9AE}" pid="16" name="FSC#LOCAL@2220.100:LastFinalSignDocumentAt">
    <vt:lpwstr/>
  </property>
  <property fmtid="{D5CDD505-2E9C-101B-9397-08002B2CF9AE}" pid="17" name="FSC#LOCAL@2220.100:LastFinalSignDocumentUserMail">
    <vt:lpwstr/>
  </property>
  <property fmtid="{D5CDD505-2E9C-101B-9397-08002B2CF9AE}" pid="18" name="FSC#LOCAL@2220.100:LastFinalSignDocumentUserTel">
    <vt:lpwstr/>
  </property>
  <property fmtid="{D5CDD505-2E9C-101B-9397-08002B2CF9AE}" pid="19" name="FSC#LOCAL@2220.100:LastFinalSignDocumentOE">
    <vt:lpwstr/>
  </property>
  <property fmtid="{D5CDD505-2E9C-101B-9397-08002B2CF9AE}" pid="20" name="FSC#LOCAL@2220.100:ProcResponsibleGroupFullName">
    <vt:lpwstr/>
  </property>
  <property fmtid="{D5CDD505-2E9C-101B-9397-08002B2CF9AE}" pid="21" name="FSC#LOCAL@2220.100:ApplicationTravellerOU">
    <vt:lpwstr/>
  </property>
  <property fmtid="{D5CDD505-2E9C-101B-9397-08002B2CF9AE}" pid="22" name="FSC#LOCAL@2220.100:ApplicationTravellerTitle">
    <vt:lpwstr/>
  </property>
  <property fmtid="{D5CDD505-2E9C-101B-9397-08002B2CF9AE}" pid="23" name="FSC#LOCAL@2220.100:DeliveryDateFirstIncoming">
    <vt:lpwstr/>
  </property>
  <property fmtid="{D5CDD505-2E9C-101B-9397-08002B2CF9AE}" pid="24" name="FSC#LOCAL@2220.100:tripfrom">
    <vt:lpwstr/>
  </property>
  <property fmtid="{D5CDD505-2E9C-101B-9397-08002B2CF9AE}" pid="25" name="FSC#LOCAL@2220.100:tripto">
    <vt:lpwstr/>
  </property>
  <property fmtid="{D5CDD505-2E9C-101B-9397-08002B2CF9AE}" pid="26" name="FSC#LOCAL@2220.100:applbusinessfrom">
    <vt:lpwstr/>
  </property>
  <property fmtid="{D5CDD505-2E9C-101B-9397-08002B2CF9AE}" pid="27" name="FSC#LOCAL@2220.100:applbusinessto">
    <vt:lpwstr/>
  </property>
  <property fmtid="{D5CDD505-2E9C-101B-9397-08002B2CF9AE}" pid="28" name="FSC#LOCAL@2220.100:trainee_is_handicaped">
    <vt:lpwstr/>
  </property>
  <property fmtid="{D5CDD505-2E9C-101B-9397-08002B2CF9AE}" pid="29" name="FSC#LOCAL@2220.100:trainingisinhouse">
    <vt:lpwstr/>
  </property>
  <property fmtid="{D5CDD505-2E9C-101B-9397-08002B2CF9AE}" pid="30" name="FSC#LOCAL@2220.100:applisthirdparty">
    <vt:lpwstr/>
  </property>
  <property fmtid="{D5CDD505-2E9C-101B-9397-08002B2CF9AE}" pid="31" name="FSC#LOCAL@2220.100:applistraininggov">
    <vt:lpwstr/>
  </property>
  <property fmtid="{D5CDD505-2E9C-101B-9397-08002B2CF9AE}" pid="32" name="FSC#LOCAL@2220.100:applisthirdparty_form">
    <vt:lpwstr/>
  </property>
  <property fmtid="{D5CDD505-2E9C-101B-9397-08002B2CF9AE}" pid="33" name="FSC#LOCAL@2220.100:ApplDocTrainingID">
    <vt:lpwstr/>
  </property>
  <property fmtid="{D5CDD505-2E9C-101B-9397-08002B2CF9AE}" pid="34" name="FSC#LOCAL@2220.100:ApplDocTrainingcost">
    <vt:lpwstr/>
  </property>
  <property fmtid="{D5CDD505-2E9C-101B-9397-08002B2CF9AE}" pid="35" name="FSC#LOCAL@2220.100:employee_new">
    <vt:lpwstr/>
  </property>
  <property fmtid="{D5CDD505-2E9C-101B-9397-08002B2CF9AE}" pid="36" name="FSC#LOCAL@2220.100:employee_leader">
    <vt:lpwstr/>
  </property>
  <property fmtid="{D5CDD505-2E9C-101B-9397-08002B2CF9AE}" pid="37" name="FSC#LOCAL@2220.100:employee_leader_old">
    <vt:lpwstr/>
  </property>
  <property fmtid="{D5CDD505-2E9C-101B-9397-08002B2CF9AE}" pid="38" name="FSC#LOCAL@2220.100:employee_entry">
    <vt:lpwstr/>
  </property>
  <property fmtid="{D5CDD505-2E9C-101B-9397-08002B2CF9AE}" pid="39" name="FSC#LOCAL@2220.100:employee_endofprobation">
    <vt:lpwstr/>
  </property>
  <property fmtid="{D5CDD505-2E9C-101B-9397-08002B2CF9AE}" pid="40" name="FSC#LOCAL@2220.100:employee_group_fd">
    <vt:lpwstr/>
  </property>
  <property fmtid="{D5CDD505-2E9C-101B-9397-08002B2CF9AE}" pid="41" name="FSC#LOCAL@2220.100:employee_group">
    <vt:lpwstr/>
  </property>
  <property fmtid="{D5CDD505-2E9C-101B-9397-08002B2CF9AE}" pid="42" name="FSC#LOCAL@2220.100:Initial_Feedback">
    <vt:lpwstr/>
  </property>
  <property fmtid="{D5CDD505-2E9C-101B-9397-08002B2CF9AE}" pid="43" name="FSC#LOCAL@2220.100:LastFinalInitialAt">
    <vt:lpwstr/>
  </property>
  <property fmtid="{D5CDD505-2E9C-101B-9397-08002B2CF9AE}" pid="44" name="FSC#LOCAL@2220.100:LastSignDocument">
    <vt:lpwstr/>
  </property>
  <property fmtid="{D5CDD505-2E9C-101B-9397-08002B2CF9AE}" pid="45" name="FSC#LOCAL@2220.100:LastFinalSignAcepAt">
    <vt:lpwstr/>
  </property>
  <property fmtid="{D5CDD505-2E9C-101B-9397-08002B2CF9AE}" pid="46" name="FSC#LOCAL@2220.100:qm_document_type_fd">
    <vt:lpwstr/>
  </property>
  <property fmtid="{D5CDD505-2E9C-101B-9397-08002B2CF9AE}" pid="47" name="FSC#LOCAL@2220.100:qm_instruction_type_fd">
    <vt:lpwstr/>
  </property>
  <property fmtid="{D5CDD505-2E9C-101B-9397-08002B2CF9AE}" pid="48" name="FSC#Aktuell freigegebene Version vom Internen Dokument">
    <vt:lpwstr/>
  </property>
  <property fmtid="{D5CDD505-2E9C-101B-9397-08002B2CF9AE}" pid="49" name="FSC#LOCAL@2220.100:qm_CountFinalSignDocument">
    <vt:lpwstr>0</vt:lpwstr>
  </property>
  <property fmtid="{D5CDD505-2E9C-101B-9397-08002B2CF9AE}" pid="50" name="FSC#LOCAL@2220.100:qm_id_comment">
    <vt:lpwstr/>
  </property>
  <property fmtid="{D5CDD505-2E9C-101B-9397-08002B2CF9AE}" pid="51" name="FSC#LOCAL@2220.100:qm_register">
    <vt:lpwstr/>
  </property>
  <property fmtid="{D5CDD505-2E9C-101B-9397-08002B2CF9AE}" pid="52" name="FSC#LOCAL@2220.100:qm_check_fd">
    <vt:lpwstr/>
  </property>
  <property fmtid="{D5CDD505-2E9C-101B-9397-08002B2CF9AE}" pid="53" name="FSC#LOCAL@2220.100:qm_doc_generated_at">
    <vt:lpwstr/>
  </property>
  <property fmtid="{D5CDD505-2E9C-101B-9397-08002B2CF9AE}" pid="54" name="FSC#LOCAL@2220.100:qm_objreleasedat">
    <vt:lpwstr/>
  </property>
  <property fmtid="{D5CDD505-2E9C-101B-9397-08002B2CF9AE}" pid="55" name="FSC#PEICFG@15.1700:DrugName">
    <vt:lpwstr/>
  </property>
  <property fmtid="{D5CDD505-2E9C-101B-9397-08002B2CF9AE}" pid="56" name="FSC#PEICFG@15.1700:FirstENRMedicalDesc">
    <vt:lpwstr/>
  </property>
  <property fmtid="{D5CDD505-2E9C-101B-9397-08002B2CF9AE}" pid="57" name="FSC#PEICFG@15.1700:AllENRMedicalDesc">
    <vt:lpwstr/>
  </property>
  <property fmtid="{D5CDD505-2E9C-101B-9397-08002B2CF9AE}" pid="58" name="FSC#PEICFG@15.1700:FirstENRDosageForm">
    <vt:lpwstr/>
  </property>
  <property fmtid="{D5CDD505-2E9C-101B-9397-08002B2CF9AE}" pid="59" name="FSC#PEICFG@15.1700:AllENRNumbers">
    <vt:lpwstr/>
  </property>
  <property fmtid="{D5CDD505-2E9C-101B-9397-08002B2CF9AE}" pid="60" name="FSC#PEICFG@15.1700:FirstENRPackageSize">
    <vt:lpwstr/>
  </property>
  <property fmtid="{D5CDD505-2E9C-101B-9397-08002B2CF9AE}" pid="61" name="FSC#PEICFG@15.1700:FirstENRModeNumber">
    <vt:lpwstr/>
  </property>
  <property fmtid="{D5CDD505-2E9C-101B-9397-08002B2CF9AE}" pid="62" name="FSC#PEICFG@15.1700:FirstENRBaseModeNumber">
    <vt:lpwstr/>
  </property>
  <property fmtid="{D5CDD505-2E9C-101B-9397-08002B2CF9AE}" pid="63" name="FSC#PEICFG@15.1700:FirstENRLicenceNumber">
    <vt:lpwstr/>
  </property>
  <property fmtid="{D5CDD505-2E9C-101B-9397-08002B2CF9AE}" pid="64" name="FSC#PEICFG@15.1700:AllENRLicenceNumbers">
    <vt:lpwstr/>
  </property>
  <property fmtid="{D5CDD505-2E9C-101B-9397-08002B2CF9AE}" pid="65" name="FSC#PEICFG@15.1700:INN">
    <vt:lpwstr/>
  </property>
  <property fmtid="{D5CDD505-2E9C-101B-9397-08002B2CF9AE}" pid="66" name="FSC#PEICFG@15.1700:RoleInApprovalProcess">
    <vt:lpwstr/>
  </property>
  <property fmtid="{D5CDD505-2E9C-101B-9397-08002B2CF9AE}" pid="67" name="FSC#PEICFG@15.1700:ReporterName">
    <vt:lpwstr/>
  </property>
  <property fmtid="{D5CDD505-2E9C-101B-9397-08002B2CF9AE}" pid="68" name="FSC#PEICFG@15.1700:CoReporterName">
    <vt:lpwstr/>
  </property>
  <property fmtid="{D5CDD505-2E9C-101B-9397-08002B2CF9AE}" pid="69" name="FSC#PEICFG@15.1700:PeerName">
    <vt:lpwstr/>
  </property>
  <property fmtid="{D5CDD505-2E9C-101B-9397-08002B2CF9AE}" pid="70" name="FSC#PEICFG@15.1700:ReporterCountry">
    <vt:lpwstr/>
  </property>
  <property fmtid="{D5CDD505-2E9C-101B-9397-08002B2CF9AE}" pid="71" name="FSC#PEICFG@15.1700:CoReporterCountry">
    <vt:lpwstr/>
  </property>
  <property fmtid="{D5CDD505-2E9C-101B-9397-08002B2CF9AE}" pid="72" name="FSC#PEICFG@15.1700:PeerCountry">
    <vt:lpwstr/>
  </property>
  <property fmtid="{D5CDD505-2E9C-101B-9397-08002B2CF9AE}" pid="73" name="FSC#PEICFG@15.1700:AdmissionDate">
    <vt:lpwstr/>
  </property>
  <property fmtid="{D5CDD505-2E9C-101B-9397-08002B2CF9AE}" pid="74" name="FSC#PEICFG@15.1700:CHMPName">
    <vt:lpwstr>Jan Müller-Berghaus</vt:lpwstr>
  </property>
  <property fmtid="{D5CDD505-2E9C-101B-9397-08002B2CF9AE}" pid="75" name="FSC#PEICFG@15.1700:CVMPName">
    <vt:lpwstr>Esther Werner</vt:lpwstr>
  </property>
  <property fmtid="{D5CDD505-2E9C-101B-9397-08002B2CF9AE}" pid="76" name="FSC#PEICFG@15.1700:ApplDocAccountingState">
    <vt:lpwstr/>
  </property>
  <property fmtid="{D5CDD505-2E9C-101B-9397-08002B2CF9AE}" pid="77" name="FSC#PEICFG@15.1700:ApplDocApplicationState">
    <vt:lpwstr/>
  </property>
  <property fmtid="{D5CDD505-2E9C-101B-9397-08002B2CF9AE}" pid="78" name="FSC#PEICFG@15.1700:ApplDocApplicant">
    <vt:lpwstr/>
  </property>
  <property fmtid="{D5CDD505-2E9C-101B-9397-08002B2CF9AE}" pid="79" name="FSC#PEICFG@15.1700:ApplDocBusinessMail">
    <vt:lpwstr/>
  </property>
  <property fmtid="{D5CDD505-2E9C-101B-9397-08002B2CF9AE}" pid="80" name="FSC#PEICFG@15.1700:ApplDocBusinessPhone">
    <vt:lpwstr/>
  </property>
  <property fmtid="{D5CDD505-2E9C-101B-9397-08002B2CF9AE}" pid="81" name="FSC#PEICFG@15.1700:ApplDocThirdPartyCosts">
    <vt:lpwstr/>
  </property>
  <property fmtid="{D5CDD505-2E9C-101B-9397-08002B2CF9AE}" pid="82" name="FSC#PEICFG@15.1700:ApplDocSponsor">
    <vt:lpwstr/>
  </property>
  <property fmtid="{D5CDD505-2E9C-101B-9397-08002B2CF9AE}" pid="83" name="FSC#PEICFG@15.1700:ApplDocSurname">
    <vt:lpwstr/>
  </property>
  <property fmtid="{D5CDD505-2E9C-101B-9397-08002B2CF9AE}" pid="84" name="FSC#PEICFG@15.1700:ApplDocFirstname">
    <vt:lpwstr/>
  </property>
  <property fmtid="{D5CDD505-2E9C-101B-9397-08002B2CF9AE}" pid="85" name="FSC#PEICFG@15.1700:ApplDocTripFrom">
    <vt:lpwstr/>
  </property>
  <property fmtid="{D5CDD505-2E9C-101B-9397-08002B2CF9AE}" pid="86" name="FSC#PEICFG@15.1700:ApplDocTripTo">
    <vt:lpwstr/>
  </property>
  <property fmtid="{D5CDD505-2E9C-101B-9397-08002B2CF9AE}" pid="87" name="FSC#PEICFG@15.1700:ApplDocTripDestination">
    <vt:lpwstr/>
  </property>
  <property fmtid="{D5CDD505-2E9C-101B-9397-08002B2CF9AE}" pid="88" name="FSC#PEICFG@15.1700:ApplDocTripCosts">
    <vt:lpwstr/>
  </property>
  <property fmtid="{D5CDD505-2E9C-101B-9397-08002B2CF9AE}" pid="89" name="FSC#PEICFG@15.1700:ApplDocIsTrainee">
    <vt:lpwstr/>
  </property>
  <property fmtid="{D5CDD505-2E9C-101B-9397-08002B2CF9AE}" pid="90" name="FSC#PEICFG@15.1700:ApplDocIsRepresentCommittee">
    <vt:lpwstr/>
  </property>
  <property fmtid="{D5CDD505-2E9C-101B-9397-08002B2CF9AE}" pid="91" name="FSC#PEICFG@15.1700:ApplDocTravelPurpose">
    <vt:lpwstr/>
  </property>
  <property fmtid="{D5CDD505-2E9C-101B-9397-08002B2CF9AE}" pid="92" name="FSC#PEICFG@15.1700:ApplDocBusinessFrom">
    <vt:lpwstr/>
  </property>
  <property fmtid="{D5CDD505-2E9C-101B-9397-08002B2CF9AE}" pid="93" name="FSC#PEICFG@15.1700:ApplDocBusinessTo">
    <vt:lpwstr/>
  </property>
  <property fmtid="{D5CDD505-2E9C-101B-9397-08002B2CF9AE}" pid="94" name="FSC#PEICFG@15.1700:ApplDocIsBusinessCar">
    <vt:lpwstr/>
  </property>
  <property fmtid="{D5CDD505-2E9C-101B-9397-08002B2CF9AE}" pid="95" name="FSC#PEICFG@15.1700:LastFinalVersionSigner">
    <vt:lpwstr/>
  </property>
  <property fmtid="{D5CDD505-2E9C-101B-9397-08002B2CF9AE}" pid="96" name="FSC#BFARMPEICFG@15.1700:Subject">
    <vt:lpwstr/>
  </property>
  <property fmtid="{D5CDD505-2E9C-101B-9397-08002B2CF9AE}" pid="97" name="FSC#BFARMPEICFG@15.1700:AttachmentCount">
    <vt:lpwstr>0</vt:lpwstr>
  </property>
  <property fmtid="{D5CDD505-2E9C-101B-9397-08002B2CF9AE}" pid="98" name="FSC#BFARMPEICFG@15.1700:Author">
    <vt:lpwstr/>
  </property>
  <property fmtid="{D5CDD505-2E9C-101B-9397-08002B2CF9AE}" pid="99" name="FSC#BFARMPEICFG@15.1700:AuthorSurname">
    <vt:lpwstr/>
  </property>
  <property fmtid="{D5CDD505-2E9C-101B-9397-08002B2CF9AE}" pid="100" name="FSC#BFARMPEICFG@15.1700:AuthorMail">
    <vt:lpwstr/>
  </property>
  <property fmtid="{D5CDD505-2E9C-101B-9397-08002B2CF9AE}" pid="101" name="FSC#BFARMPEICFG@15.1700:AuthorCCMail">
    <vt:lpwstr/>
  </property>
  <property fmtid="{D5CDD505-2E9C-101B-9397-08002B2CF9AE}" pid="102" name="FSC#BFARMPEICFG@15.1700:AuthorPhone">
    <vt:lpwstr/>
  </property>
  <property fmtid="{D5CDD505-2E9C-101B-9397-08002B2CF9AE}" pid="103" name="FSC#BFARMPEICFG@15.1700:AuthorFax">
    <vt:lpwstr/>
  </property>
  <property fmtid="{D5CDD505-2E9C-101B-9397-08002B2CF9AE}" pid="104" name="FSC#BFARMPEICFG@15.1700:CreatedAt">
    <vt:lpwstr/>
  </property>
  <property fmtid="{D5CDD505-2E9C-101B-9397-08002B2CF9AE}" pid="105" name="FSC#BFARMPEICFG@15.1700:CreatedAtDE">
    <vt:lpwstr/>
  </property>
  <property fmtid="{D5CDD505-2E9C-101B-9397-08002B2CF9AE}" pid="106" name="FSC#BFARMPEICFG@15.1700:CreatedAtEN">
    <vt:lpwstr/>
  </property>
  <property fmtid="{D5CDD505-2E9C-101B-9397-08002B2CF9AE}" pid="107" name="FSC#BFARMPEICFG@15.1700:FirstFinalSignProcedure">
    <vt:lpwstr/>
  </property>
  <property fmtid="{D5CDD505-2E9C-101B-9397-08002B2CF9AE}" pid="108" name="FSC#BFARMPEICFG@15.1700:FirstFinalSignProcedureDate">
    <vt:lpwstr/>
  </property>
  <property fmtid="{D5CDD505-2E9C-101B-9397-08002B2CF9AE}" pid="109" name="FSC#BFARMPEICFG@15.1700:DocumentName">
    <vt:lpwstr/>
  </property>
  <property fmtid="{D5CDD505-2E9C-101B-9397-08002B2CF9AE}" pid="110" name="FSC#BFARMPEICFG@15.1700:DocumentFileReference">
    <vt:lpwstr/>
  </property>
  <property fmtid="{D5CDD505-2E9C-101B-9397-08002B2CF9AE}" pid="111" name="FSC#BFARMPEICFG@15.1700:DocumentShortDescription">
    <vt:lpwstr/>
  </property>
  <property fmtid="{D5CDD505-2E9C-101B-9397-08002B2CF9AE}" pid="112" name="FSC#BFARMPEICFG@15.1700:ProcedureName">
    <vt:lpwstr/>
  </property>
  <property fmtid="{D5CDD505-2E9C-101B-9397-08002B2CF9AE}" pid="113" name="FSC#BFARMPEICFG@15.1700:ProcedureFileReference">
    <vt:lpwstr/>
  </property>
  <property fmtid="{D5CDD505-2E9C-101B-9397-08002B2CF9AE}" pid="114" name="FSC#BFARMPEICFG@15.1700:ProcedureShortDescription">
    <vt:lpwstr/>
  </property>
  <property fmtid="{D5CDD505-2E9C-101B-9397-08002B2CF9AE}" pid="115" name="FSC#BFARMPEICFG@15.1700:OEHead">
    <vt:lpwstr/>
  </property>
  <property fmtid="{D5CDD505-2E9C-101B-9397-08002B2CF9AE}" pid="116" name="FSC#BFARMPEICFG@15.1700:OEHeadPhone">
    <vt:lpwstr/>
  </property>
  <property fmtid="{D5CDD505-2E9C-101B-9397-08002B2CF9AE}" pid="117" name="FSC#BFARMPEICFG@15.1700:OEShortName">
    <vt:lpwstr/>
  </property>
  <property fmtid="{D5CDD505-2E9C-101B-9397-08002B2CF9AE}" pid="118" name="FSC#BFARMPEICFG@15.1700:OrgBankAccSendTo">
    <vt:lpwstr/>
  </property>
  <property fmtid="{D5CDD505-2E9C-101B-9397-08002B2CF9AE}" pid="119" name="FSC#BFARMPEICFG@15.1700:OrgBankAccBank">
    <vt:lpwstr/>
  </property>
  <property fmtid="{D5CDD505-2E9C-101B-9397-08002B2CF9AE}" pid="120" name="FSC#BFARMPEICFG@15.1700:OrgBankAccID">
    <vt:lpwstr/>
  </property>
  <property fmtid="{D5CDD505-2E9C-101B-9397-08002B2CF9AE}" pid="121" name="FSC#BFARMPEICFG@15.1700:OrgBankAccAccount">
    <vt:lpwstr/>
  </property>
  <property fmtid="{D5CDD505-2E9C-101B-9397-08002B2CF9AE}" pid="122" name="FSC#BFARMPEICFG@15.1700:OrgBankAccIBAN">
    <vt:lpwstr/>
  </property>
  <property fmtid="{D5CDD505-2E9C-101B-9397-08002B2CF9AE}" pid="123" name="FSC#BFARMPEICFG@15.1700:OrgBankAccBIC">
    <vt:lpwstr/>
  </property>
  <property fmtid="{D5CDD505-2E9C-101B-9397-08002B2CF9AE}" pid="124" name="FSC#BFARMPEICFG@15.1700:OrgName">
    <vt:lpwstr/>
  </property>
  <property fmtid="{D5CDD505-2E9C-101B-9397-08002B2CF9AE}" pid="125" name="FSC#BFARMPEICFG@15.1700:OrgShortName">
    <vt:lpwstr/>
  </property>
  <property fmtid="{D5CDD505-2E9C-101B-9397-08002B2CF9AE}" pid="126" name="FSC#BFARMPEICFG@15.1700:OrgNote">
    <vt:lpwstr/>
  </property>
  <property fmtid="{D5CDD505-2E9C-101B-9397-08002B2CF9AE}" pid="127" name="FSC#BFARMPEICFG@15.1700:OrgStreet">
    <vt:lpwstr/>
  </property>
  <property fmtid="{D5CDD505-2E9C-101B-9397-08002B2CF9AE}" pid="128" name="FSC#BFARMPEICFG@15.1700:OrgZIP">
    <vt:lpwstr/>
  </property>
  <property fmtid="{D5CDD505-2E9C-101B-9397-08002B2CF9AE}" pid="129" name="FSC#BFARMPEICFG@15.1700:OrgCity">
    <vt:lpwstr/>
  </property>
  <property fmtid="{D5CDD505-2E9C-101B-9397-08002B2CF9AE}" pid="130" name="FSC#BFARMPEICFG@15.1700:OrgStreetDeliver">
    <vt:lpwstr/>
  </property>
  <property fmtid="{D5CDD505-2E9C-101B-9397-08002B2CF9AE}" pid="131" name="FSC#BFARMPEICFG@15.1700:OrgPostboxDeliver">
    <vt:lpwstr/>
  </property>
  <property fmtid="{D5CDD505-2E9C-101B-9397-08002B2CF9AE}" pid="132" name="FSC#BFARMPEICFG@15.1700:OrgZIPDeliver">
    <vt:lpwstr/>
  </property>
  <property fmtid="{D5CDD505-2E9C-101B-9397-08002B2CF9AE}" pid="133" name="FSC#BFARMPEICFG@15.1700:OrgCityDeliver">
    <vt:lpwstr/>
  </property>
  <property fmtid="{D5CDD505-2E9C-101B-9397-08002B2CF9AE}" pid="134" name="FSC#BFARMPEICFG@15.1700:OrgPhone">
    <vt:lpwstr/>
  </property>
  <property fmtid="{D5CDD505-2E9C-101B-9397-08002B2CF9AE}" pid="135" name="FSC#BFARMPEICFG@15.1700:OrgFax">
    <vt:lpwstr/>
  </property>
  <property fmtid="{D5CDD505-2E9C-101B-9397-08002B2CF9AE}" pid="136" name="FSC#BFARMPEICFG@15.1700:OrgWWW">
    <vt:lpwstr/>
  </property>
  <property fmtid="{D5CDD505-2E9C-101B-9397-08002B2CF9AE}" pid="137" name="FSC#BFARMPEICFG@15.1700:OwnerSurname">
    <vt:lpwstr/>
  </property>
  <property fmtid="{D5CDD505-2E9C-101B-9397-08002B2CF9AE}" pid="138" name="FSC#BFARMPEICFG@15.1700:OwnerMail">
    <vt:lpwstr/>
  </property>
  <property fmtid="{D5CDD505-2E9C-101B-9397-08002B2CF9AE}" pid="139" name="FSC#BFARMPEICFG@15.1700:OwnerPhone">
    <vt:lpwstr/>
  </property>
  <property fmtid="{D5CDD505-2E9C-101B-9397-08002B2CF9AE}" pid="140" name="FSC#BFARMPEICFG@15.1700:OwnerFax">
    <vt:lpwstr/>
  </property>
  <property fmtid="{D5CDD505-2E9C-101B-9397-08002B2CF9AE}" pid="141" name="FSC#BFARMPEICFG@15.1700:HandoutList">
    <vt:lpwstr/>
  </property>
  <property fmtid="{D5CDD505-2E9C-101B-9397-08002B2CF9AE}" pid="142" name="FSC#BFARMPEICFG@15.1700:ProcedureParticipants">
    <vt:lpwstr/>
  </property>
  <property fmtid="{D5CDD505-2E9C-101B-9397-08002B2CF9AE}" pid="143" name="FSC#BFARMPEICFG@15.1700:OutgoingReporters">
    <vt:lpwstr/>
  </property>
  <property fmtid="{D5CDD505-2E9C-101B-9397-08002B2CF9AE}" pid="144" name="FSC#BFARMPEICFG@15.1700:ProcResponsibleName">
    <vt:lpwstr/>
  </property>
  <property fmtid="{D5CDD505-2E9C-101B-9397-08002B2CF9AE}" pid="145" name="FSC#BFARMPEICFG@15.1700:ProcResponsiblePhone">
    <vt:lpwstr/>
  </property>
  <property fmtid="{D5CDD505-2E9C-101B-9397-08002B2CF9AE}" pid="146" name="FSC#BFARMPEICFG@15.1700:ProcResponsibleFax">
    <vt:lpwstr/>
  </property>
  <property fmtid="{D5CDD505-2E9C-101B-9397-08002B2CF9AE}" pid="147" name="FSC#BFARMPEICFG@15.1700:ProcResponsibleMail">
    <vt:lpwstr/>
  </property>
  <property fmtid="{D5CDD505-2E9C-101B-9397-08002B2CF9AE}" pid="148" name="FSC#BFARMPEICFG@15.1700:ProcResponsibleGroup">
    <vt:lpwstr/>
  </property>
  <property fmtid="{D5CDD505-2E9C-101B-9397-08002B2CF9AE}" pid="149" name="FSC#BFARMPEICFG@15.1700:IncomingDate">
    <vt:lpwstr/>
  </property>
  <property fmtid="{D5CDD505-2E9C-101B-9397-08002B2CF9AE}" pid="150" name="FSC#BFARMPEICFG@15.1700:1stAddrOrgname">
    <vt:lpwstr/>
  </property>
  <property fmtid="{D5CDD505-2E9C-101B-9397-08002B2CF9AE}" pid="151" name="FSC#BFARMPEICFG@15.1700:1stAddrOrgnameShort">
    <vt:lpwstr/>
  </property>
  <property fmtid="{D5CDD505-2E9C-101B-9397-08002B2CF9AE}" pid="152" name="FSC#BFARMPEICFG@15.1700:1stAddrOrgnameAlt">
    <vt:lpwstr/>
  </property>
  <property fmtid="{D5CDD505-2E9C-101B-9397-08002B2CF9AE}" pid="153" name="FSC#BFARMPEICFG@15.1700:1stAddrSalutation">
    <vt:lpwstr/>
  </property>
  <property fmtid="{D5CDD505-2E9C-101B-9397-08002B2CF9AE}" pid="154" name="FSC#BFARMPEICFG@15.1700:1stAddrTitle">
    <vt:lpwstr/>
  </property>
  <property fmtid="{D5CDD505-2E9C-101B-9397-08002B2CF9AE}" pid="155" name="FSC#BFARMPEICFG@15.1700:1stAddrFirstname">
    <vt:lpwstr/>
  </property>
  <property fmtid="{D5CDD505-2E9C-101B-9397-08002B2CF9AE}" pid="156" name="FSC#BFARMPEICFG@15.1700:1stAddrMiddlename">
    <vt:lpwstr/>
  </property>
  <property fmtid="{D5CDD505-2E9C-101B-9397-08002B2CF9AE}" pid="157" name="FSC#BFARMPEICFG@15.1700:1stAddrName">
    <vt:lpwstr/>
  </property>
  <property fmtid="{D5CDD505-2E9C-101B-9397-08002B2CF9AE}" pid="158" name="FSC#BFARMPEICFG@15.1700:1stAddrDivision">
    <vt:lpwstr/>
  </property>
  <property fmtid="{D5CDD505-2E9C-101B-9397-08002B2CF9AE}" pid="159" name="FSC#BFARMPEICFG@15.1700:1stAddrStreet">
    <vt:lpwstr/>
  </property>
  <property fmtid="{D5CDD505-2E9C-101B-9397-08002B2CF9AE}" pid="160" name="FSC#BFARMPEICFG@15.1700:1stAddrZIPCode">
    <vt:lpwstr/>
  </property>
  <property fmtid="{D5CDD505-2E9C-101B-9397-08002B2CF9AE}" pid="161" name="FSC#BFARMPEICFG@15.1700:1stAddrCity">
    <vt:lpwstr/>
  </property>
  <property fmtid="{D5CDD505-2E9C-101B-9397-08002B2CF9AE}" pid="162" name="FSC#BFARMPEICFG@15.1700:1stAddrState">
    <vt:lpwstr/>
  </property>
  <property fmtid="{D5CDD505-2E9C-101B-9397-08002B2CF9AE}" pid="163" name="FSC#BFARMPEICFG@15.1700:1stAddrCountry">
    <vt:lpwstr/>
  </property>
  <property fmtid="{D5CDD505-2E9C-101B-9397-08002B2CF9AE}" pid="164" name="FSC#BFARMPEICFG@15.1700:1stAddrEmail">
    <vt:lpwstr/>
  </property>
  <property fmtid="{D5CDD505-2E9C-101B-9397-08002B2CF9AE}" pid="165" name="FSC#BFARMPEICFG@15.1700:1stAddrAddition">
    <vt:lpwstr/>
  </property>
  <property fmtid="{D5CDD505-2E9C-101B-9397-08002B2CF9AE}" pid="166" name="FSC#BFARMPEICFG@15.1700:1stAddrNote">
    <vt:lpwstr/>
  </property>
  <property fmtid="{D5CDD505-2E9C-101B-9397-08002B2CF9AE}" pid="167" name="FSC#BFARMPEICFG@15.1700:ForeignNrFirstIncoming">
    <vt:lpwstr/>
  </property>
  <property fmtid="{D5CDD505-2E9C-101B-9397-08002B2CF9AE}" pid="168" name="FSC#BFARMPEICFG@15.1700:AddrOrgName">
    <vt:lpwstr/>
  </property>
  <property fmtid="{D5CDD505-2E9C-101B-9397-08002B2CF9AE}" pid="169" name="FSC#BFARMPEICFG@15.1700:AddrSuffix1">
    <vt:lpwstr/>
  </property>
  <property fmtid="{D5CDD505-2E9C-101B-9397-08002B2CF9AE}" pid="170" name="FSC#BFARMPEICFG@15.1700:AddrSuffix2">
    <vt:lpwstr/>
  </property>
  <property fmtid="{D5CDD505-2E9C-101B-9397-08002B2CF9AE}" pid="171" name="FSC#BFARMPEICFG@15.1700:AddrOrgShortName">
    <vt:lpwstr/>
  </property>
  <property fmtid="{D5CDD505-2E9C-101B-9397-08002B2CF9AE}" pid="172" name="FSC#BFARMPEICFG@15.1700:AddrAlternativeDesc">
    <vt:lpwstr/>
  </property>
  <property fmtid="{D5CDD505-2E9C-101B-9397-08002B2CF9AE}" pid="173" name="FSC#BFARMPEICFG@15.1700:AddrSalutation">
    <vt:lpwstr/>
  </property>
  <property fmtid="{D5CDD505-2E9C-101B-9397-08002B2CF9AE}" pid="174" name="FSC#BFARMPEICFG@15.1700:AddrTitle">
    <vt:lpwstr/>
  </property>
  <property fmtid="{D5CDD505-2E9C-101B-9397-08002B2CF9AE}" pid="175" name="FSC#BFARMPEICFG@15.1700:AddrFirstname">
    <vt:lpwstr/>
  </property>
  <property fmtid="{D5CDD505-2E9C-101B-9397-08002B2CF9AE}" pid="176" name="FSC#BFARMPEICFG@15.1700:AddrMiddleName">
    <vt:lpwstr/>
  </property>
  <property fmtid="{D5CDD505-2E9C-101B-9397-08002B2CF9AE}" pid="177" name="FSC#BFARMPEICFG@15.1700:AddrName">
    <vt:lpwstr/>
  </property>
  <property fmtid="{D5CDD505-2E9C-101B-9397-08002B2CF9AE}" pid="178" name="FSC#BFARMPEICFG@15.1700:AddrBusinessUnit">
    <vt:lpwstr/>
  </property>
  <property fmtid="{D5CDD505-2E9C-101B-9397-08002B2CF9AE}" pid="179" name="FSC#BFARMPEICFG@15.1700:AddrStreet">
    <vt:lpwstr/>
  </property>
  <property fmtid="{D5CDD505-2E9C-101B-9397-08002B2CF9AE}" pid="180" name="FSC#BFARMPEICFG@15.1700:AddrZipCode">
    <vt:lpwstr/>
  </property>
  <property fmtid="{D5CDD505-2E9C-101B-9397-08002B2CF9AE}" pid="181" name="FSC#BFARMPEICFG@15.1700:AddrCity">
    <vt:lpwstr/>
  </property>
  <property fmtid="{D5CDD505-2E9C-101B-9397-08002B2CF9AE}" pid="182" name="FSC#BFARMPEICFG@15.1700:AddrState">
    <vt:lpwstr/>
  </property>
  <property fmtid="{D5CDD505-2E9C-101B-9397-08002B2CF9AE}" pid="183" name="FSC#BFARMPEICFG@15.1700:AddrCountry">
    <vt:lpwstr/>
  </property>
  <property fmtid="{D5CDD505-2E9C-101B-9397-08002B2CF9AE}" pid="184" name="FSC#BFARMPEICFG@15.1700:AddrEMail">
    <vt:lpwstr/>
  </property>
  <property fmtid="{D5CDD505-2E9C-101B-9397-08002B2CF9AE}" pid="185" name="FSC#BFARMPEICFG@15.1700:AddrAddition">
    <vt:lpwstr/>
  </property>
  <property fmtid="{D5CDD505-2E9C-101B-9397-08002B2CF9AE}" pid="186" name="FSC#BFARMPEICFG@15.1700:AddrNote">
    <vt:lpwstr/>
  </property>
  <property fmtid="{D5CDD505-2E9C-101B-9397-08002B2CF9AE}" pid="187" name="FSC#BFARMPEICFG@15.1700:AddrCat">
    <vt:lpwstr/>
  </property>
  <property fmtid="{D5CDD505-2E9C-101B-9397-08002B2CF9AE}" pid="188" name="FSC#BFARMPEICFG@15.1700:AddrTransMedia">
    <vt:lpwstr/>
  </property>
  <property fmtid="{D5CDD505-2E9C-101B-9397-08002B2CF9AE}" pid="189" name="FSC#BFARMPEICFG@15.1700:AddrUserAbbreviation">
    <vt:lpwstr/>
  </property>
  <property fmtid="{D5CDD505-2E9C-101B-9397-08002B2CF9AE}" pid="190" name="FSC#BFARMPEICFG@15.1700:AddrGender">
    <vt:lpwstr/>
  </property>
  <property fmtid="{D5CDD505-2E9C-101B-9397-08002B2CF9AE}" pid="191" name="FSC#BFARMPEICFG@15.1700:AddrBirthDate">
    <vt:lpwstr/>
  </property>
  <property fmtid="{D5CDD505-2E9C-101B-9397-08002B2CF9AE}" pid="192" name="FSC#BFARMPEICFG@15.1700:AddrDispClass">
    <vt:lpwstr/>
  </property>
  <property fmtid="{D5CDD505-2E9C-101B-9397-08002B2CF9AE}" pid="193" name="FSC#BFARMPEICFG@15.1700:AddrCopyText">
    <vt:lpwstr/>
  </property>
  <property fmtid="{D5CDD505-2E9C-101B-9397-08002B2CF9AE}" pid="194" name="FSC#COOELAK@1.1001:Subject">
    <vt:lpwstr/>
  </property>
  <property fmtid="{D5CDD505-2E9C-101B-9397-08002B2CF9AE}" pid="195" name="FSC#COOELAK@1.1001:FileReference">
    <vt:lpwstr/>
  </property>
  <property fmtid="{D5CDD505-2E9C-101B-9397-08002B2CF9AE}" pid="196" name="FSC#COOELAK@1.1001:FileRefYear">
    <vt:lpwstr/>
  </property>
  <property fmtid="{D5CDD505-2E9C-101B-9397-08002B2CF9AE}" pid="197" name="FSC#COOELAK@1.1001:FileRefOrdinal">
    <vt:lpwstr/>
  </property>
  <property fmtid="{D5CDD505-2E9C-101B-9397-08002B2CF9AE}" pid="198" name="FSC#COOELAK@1.1001:FileRefOU">
    <vt:lpwstr/>
  </property>
  <property fmtid="{D5CDD505-2E9C-101B-9397-08002B2CF9AE}" pid="199" name="FSC#COOELAK@1.1001:Organization">
    <vt:lpwstr/>
  </property>
  <property fmtid="{D5CDD505-2E9C-101B-9397-08002B2CF9AE}" pid="200" name="FSC#COOELAK@1.1001:Owner">
    <vt:lpwstr>Volker Öppling</vt:lpwstr>
  </property>
  <property fmtid="{D5CDD505-2E9C-101B-9397-08002B2CF9AE}" pid="201" name="FSC#COOELAK@1.1001:OwnerExtension">
    <vt:lpwstr>+49 6103 77 3601</vt:lpwstr>
  </property>
  <property fmtid="{D5CDD505-2E9C-101B-9397-08002B2CF9AE}" pid="202" name="FSC#COOELAK@1.1001:OwnerFaxExtension">
    <vt:lpwstr/>
  </property>
  <property fmtid="{D5CDD505-2E9C-101B-9397-08002B2CF9AE}" pid="203" name="FSC#COOELAK@1.1001:DispatchedBy">
    <vt:lpwstr/>
  </property>
  <property fmtid="{D5CDD505-2E9C-101B-9397-08002B2CF9AE}" pid="204" name="FSC#COOELAK@1.1001:DispatchedAt">
    <vt:lpwstr/>
  </property>
  <property fmtid="{D5CDD505-2E9C-101B-9397-08002B2CF9AE}" pid="205" name="FSC#COOELAK@1.1001:ApprovedBy">
    <vt:lpwstr/>
  </property>
  <property fmtid="{D5CDD505-2E9C-101B-9397-08002B2CF9AE}" pid="206" name="FSC#COOELAK@1.1001:ApprovedAt">
    <vt:lpwstr/>
  </property>
  <property fmtid="{D5CDD505-2E9C-101B-9397-08002B2CF9AE}" pid="207" name="FSC#COOELAK@1.1001:Department">
    <vt:lpwstr>1/2 (Fachgebiet 1/2 - Mikrobiologische Impfstoffe)</vt:lpwstr>
  </property>
  <property fmtid="{D5CDD505-2E9C-101B-9397-08002B2CF9AE}" pid="208" name="FSC#COOELAK@1.1001:CreatedAt">
    <vt:lpwstr>27.07.2022</vt:lpwstr>
  </property>
  <property fmtid="{D5CDD505-2E9C-101B-9397-08002B2CF9AE}" pid="209" name="FSC#COOELAK@1.1001:OU">
    <vt:lpwstr>1/2 (Fachgebiet 1/2 - Mikrobiologische Impfstoffe)</vt:lpwstr>
  </property>
  <property fmtid="{D5CDD505-2E9C-101B-9397-08002B2CF9AE}" pid="210" name="FSC#COOELAK@1.1001:Priority">
    <vt:lpwstr> ()</vt:lpwstr>
  </property>
  <property fmtid="{D5CDD505-2E9C-101B-9397-08002B2CF9AE}" pid="211" name="FSC#COOELAK@1.1001:ObjBarCode">
    <vt:lpwstr>*COO.2220.100.8.3670308*</vt:lpwstr>
  </property>
  <property fmtid="{D5CDD505-2E9C-101B-9397-08002B2CF9AE}" pid="212" name="FSC#COOELAK@1.1001:RefBarCode">
    <vt:lpwstr/>
  </property>
  <property fmtid="{D5CDD505-2E9C-101B-9397-08002B2CF9AE}" pid="213" name="FSC#COOELAK@1.1001:FileRefBarCode">
    <vt:lpwstr>**</vt:lpwstr>
  </property>
  <property fmtid="{D5CDD505-2E9C-101B-9397-08002B2CF9AE}" pid="214" name="FSC#COOELAK@1.1001:ExternalRef">
    <vt:lpwstr/>
  </property>
  <property fmtid="{D5CDD505-2E9C-101B-9397-08002B2CF9AE}" pid="215" name="FSC#COOELAK@1.1001:IncomingNumber">
    <vt:lpwstr/>
  </property>
  <property fmtid="{D5CDD505-2E9C-101B-9397-08002B2CF9AE}" pid="216" name="FSC#COOELAK@1.1001:IncomingSubject">
    <vt:lpwstr/>
  </property>
  <property fmtid="{D5CDD505-2E9C-101B-9397-08002B2CF9AE}" pid="217" name="FSC#COOELAK@1.1001:ProcessResponsible">
    <vt:lpwstr/>
  </property>
  <property fmtid="{D5CDD505-2E9C-101B-9397-08002B2CF9AE}" pid="218" name="FSC#COOELAK@1.1001:ProcessResponsiblePhone">
    <vt:lpwstr/>
  </property>
  <property fmtid="{D5CDD505-2E9C-101B-9397-08002B2CF9AE}" pid="219" name="FSC#COOELAK@1.1001:ProcessResponsibleMail">
    <vt:lpwstr/>
  </property>
  <property fmtid="{D5CDD505-2E9C-101B-9397-08002B2CF9AE}" pid="220" name="FSC#COOELAK@1.1001:ProcessResponsibleFax">
    <vt:lpwstr/>
  </property>
  <property fmtid="{D5CDD505-2E9C-101B-9397-08002B2CF9AE}" pid="221" name="FSC#COOELAK@1.1001:ApproverFirstName">
    <vt:lpwstr/>
  </property>
  <property fmtid="{D5CDD505-2E9C-101B-9397-08002B2CF9AE}" pid="222" name="FSC#COOELAK@1.1001:ApproverSurName">
    <vt:lpwstr/>
  </property>
  <property fmtid="{D5CDD505-2E9C-101B-9397-08002B2CF9AE}" pid="223" name="FSC#COOELAK@1.1001:ApproverTitle">
    <vt:lpwstr/>
  </property>
  <property fmtid="{D5CDD505-2E9C-101B-9397-08002B2CF9AE}" pid="224" name="FSC#COOELAK@1.1001:ExternalDate">
    <vt:lpwstr/>
  </property>
  <property fmtid="{D5CDD505-2E9C-101B-9397-08002B2CF9AE}" pid="225" name="FSC#COOELAK@1.1001:SettlementApprovedAt">
    <vt:lpwstr/>
  </property>
  <property fmtid="{D5CDD505-2E9C-101B-9397-08002B2CF9AE}" pid="226" name="FSC#COOELAK@1.1001:BaseNumber">
    <vt:lpwstr/>
  </property>
  <property fmtid="{D5CDD505-2E9C-101B-9397-08002B2CF9AE}" pid="227" name="FSC#COOELAK@1.1001:CurrentUserRolePos">
    <vt:lpwstr>Leiter/in</vt:lpwstr>
  </property>
  <property fmtid="{D5CDD505-2E9C-101B-9397-08002B2CF9AE}" pid="228" name="FSC#COOELAK@1.1001:CurrentUserEmail">
    <vt:lpwstr>Volker.Oeppling@pei.de</vt:lpwstr>
  </property>
  <property fmtid="{D5CDD505-2E9C-101B-9397-08002B2CF9AE}" pid="229" name="FSC#ELAKGOV@1.1001:PersonalSubjGender">
    <vt:lpwstr/>
  </property>
  <property fmtid="{D5CDD505-2E9C-101B-9397-08002B2CF9AE}" pid="230" name="FSC#ELAKGOV@1.1001:PersonalSubjFirstName">
    <vt:lpwstr/>
  </property>
  <property fmtid="{D5CDD505-2E9C-101B-9397-08002B2CF9AE}" pid="231" name="FSC#ELAKGOV@1.1001:PersonalSubjSurName">
    <vt:lpwstr/>
  </property>
  <property fmtid="{D5CDD505-2E9C-101B-9397-08002B2CF9AE}" pid="232" name="FSC#ELAKGOV@1.1001:PersonalSubjSalutation">
    <vt:lpwstr/>
  </property>
  <property fmtid="{D5CDD505-2E9C-101B-9397-08002B2CF9AE}" pid="233" name="FSC#ELAKGOV@1.1001:PersonalSubjAddress">
    <vt:lpwstr/>
  </property>
  <property fmtid="{D5CDD505-2E9C-101B-9397-08002B2CF9AE}" pid="234" name="FSC#ATSTATECFG@1.1001:Office">
    <vt:lpwstr/>
  </property>
  <property fmtid="{D5CDD505-2E9C-101B-9397-08002B2CF9AE}" pid="235" name="FSC#ATSTATECFG@1.1001:Agent">
    <vt:lpwstr/>
  </property>
  <property fmtid="{D5CDD505-2E9C-101B-9397-08002B2CF9AE}" pid="236" name="FSC#ATSTATECFG@1.1001:AgentPhone">
    <vt:lpwstr/>
  </property>
  <property fmtid="{D5CDD505-2E9C-101B-9397-08002B2CF9AE}" pid="237" name="FSC#ATSTATECFG@1.1001:DepartmentFax">
    <vt:lpwstr/>
  </property>
  <property fmtid="{D5CDD505-2E9C-101B-9397-08002B2CF9AE}" pid="238" name="FSC#ATSTATECFG@1.1001:DepartmentEmail">
    <vt:lpwstr/>
  </property>
  <property fmtid="{D5CDD505-2E9C-101B-9397-08002B2CF9AE}" pid="239" name="FSC#ATSTATECFG@1.1001:SubfileDate">
    <vt:lpwstr/>
  </property>
  <property fmtid="{D5CDD505-2E9C-101B-9397-08002B2CF9AE}" pid="240" name="FSC#ATSTATECFG@1.1001:SubfileSubject">
    <vt:lpwstr/>
  </property>
  <property fmtid="{D5CDD505-2E9C-101B-9397-08002B2CF9AE}" pid="241" name="FSC#ATSTATECFG@1.1001:DepartmentZipCode">
    <vt:lpwstr/>
  </property>
  <property fmtid="{D5CDD505-2E9C-101B-9397-08002B2CF9AE}" pid="242" name="FSC#ATSTATECFG@1.1001:DepartmentCountry">
    <vt:lpwstr/>
  </property>
  <property fmtid="{D5CDD505-2E9C-101B-9397-08002B2CF9AE}" pid="243" name="FSC#ATSTATECFG@1.1001:DepartmentCity">
    <vt:lpwstr/>
  </property>
  <property fmtid="{D5CDD505-2E9C-101B-9397-08002B2CF9AE}" pid="244" name="FSC#ATSTATECFG@1.1001:DepartmentStreet">
    <vt:lpwstr/>
  </property>
  <property fmtid="{D5CDD505-2E9C-101B-9397-08002B2CF9AE}" pid="245" name="FSC#ATSTATECFG@1.1001:DepartmentDVR">
    <vt:lpwstr/>
  </property>
  <property fmtid="{D5CDD505-2E9C-101B-9397-08002B2CF9AE}" pid="246" name="FSC#ATSTATECFG@1.1001:DepartmentUID">
    <vt:lpwstr/>
  </property>
  <property fmtid="{D5CDD505-2E9C-101B-9397-08002B2CF9AE}" pid="247" name="FSC#ATSTATECFG@1.1001:SubfileReference">
    <vt:lpwstr/>
  </property>
  <property fmtid="{D5CDD505-2E9C-101B-9397-08002B2CF9AE}" pid="248" name="FSC#ATSTATECFG@1.1001:Clause">
    <vt:lpwstr/>
  </property>
  <property fmtid="{D5CDD505-2E9C-101B-9397-08002B2CF9AE}" pid="249" name="FSC#ATSTATECFG@1.1001:ApprovedSignature">
    <vt:lpwstr/>
  </property>
  <property fmtid="{D5CDD505-2E9C-101B-9397-08002B2CF9AE}" pid="250" name="FSC#ATSTATECFG@1.1001:BankAccount">
    <vt:lpwstr/>
  </property>
  <property fmtid="{D5CDD505-2E9C-101B-9397-08002B2CF9AE}" pid="251" name="FSC#ATSTATECFG@1.1001:BankAccountOwner">
    <vt:lpwstr/>
  </property>
  <property fmtid="{D5CDD505-2E9C-101B-9397-08002B2CF9AE}" pid="252" name="FSC#ATSTATECFG@1.1001:BankInstitute">
    <vt:lpwstr/>
  </property>
  <property fmtid="{D5CDD505-2E9C-101B-9397-08002B2CF9AE}" pid="253" name="FSC#ATSTATECFG@1.1001:BankAccountID">
    <vt:lpwstr/>
  </property>
  <property fmtid="{D5CDD505-2E9C-101B-9397-08002B2CF9AE}" pid="254" name="FSC#ATSTATECFG@1.1001:BankAccountIBAN">
    <vt:lpwstr/>
  </property>
  <property fmtid="{D5CDD505-2E9C-101B-9397-08002B2CF9AE}" pid="255" name="FSC#ATSTATECFG@1.1001:BankAccountBIC">
    <vt:lpwstr/>
  </property>
  <property fmtid="{D5CDD505-2E9C-101B-9397-08002B2CF9AE}" pid="256" name="FSC#ATSTATECFG@1.1001:BankName">
    <vt:lpwstr/>
  </property>
  <property fmtid="{D5CDD505-2E9C-101B-9397-08002B2CF9AE}" pid="257" name="FSC#CCAPRECONFIG@15.1001:AddrAnrede">
    <vt:lpwstr/>
  </property>
  <property fmtid="{D5CDD505-2E9C-101B-9397-08002B2CF9AE}" pid="258" name="FSC#CCAPRECONFIG@15.1001:AddrTitel">
    <vt:lpwstr/>
  </property>
  <property fmtid="{D5CDD505-2E9C-101B-9397-08002B2CF9AE}" pid="259" name="FSC#CCAPRECONFIG@15.1001:AddrNachgestellter_Titel">
    <vt:lpwstr/>
  </property>
  <property fmtid="{D5CDD505-2E9C-101B-9397-08002B2CF9AE}" pid="260" name="FSC#CCAPRECONFIG@15.1001:AddrVorname">
    <vt:lpwstr/>
  </property>
  <property fmtid="{D5CDD505-2E9C-101B-9397-08002B2CF9AE}" pid="261" name="FSC#CCAPRECONFIG@15.1001:AddrNachname">
    <vt:lpwstr/>
  </property>
  <property fmtid="{D5CDD505-2E9C-101B-9397-08002B2CF9AE}" pid="262" name="FSC#CCAPRECONFIG@15.1001:AddrzH">
    <vt:lpwstr/>
  </property>
  <property fmtid="{D5CDD505-2E9C-101B-9397-08002B2CF9AE}" pid="263" name="FSC#CCAPRECONFIG@15.1001:AddrGeschlecht">
    <vt:lpwstr/>
  </property>
  <property fmtid="{D5CDD505-2E9C-101B-9397-08002B2CF9AE}" pid="264" name="FSC#CCAPRECONFIG@15.1001:AddrStrasse">
    <vt:lpwstr/>
  </property>
  <property fmtid="{D5CDD505-2E9C-101B-9397-08002B2CF9AE}" pid="265" name="FSC#CCAPRECONFIG@15.1001:AddrHausnummer">
    <vt:lpwstr/>
  </property>
  <property fmtid="{D5CDD505-2E9C-101B-9397-08002B2CF9AE}" pid="266" name="FSC#CCAPRECONFIG@15.1001:AddrStiege">
    <vt:lpwstr/>
  </property>
  <property fmtid="{D5CDD505-2E9C-101B-9397-08002B2CF9AE}" pid="267" name="FSC#CCAPRECONFIG@15.1001:AddrStock">
    <vt:lpwstr/>
  </property>
  <property fmtid="{D5CDD505-2E9C-101B-9397-08002B2CF9AE}" pid="268" name="FSC#CCAPRECONFIG@15.1001:AddrTuer">
    <vt:lpwstr/>
  </property>
  <property fmtid="{D5CDD505-2E9C-101B-9397-08002B2CF9AE}" pid="269" name="FSC#CCAPRECONFIG@15.1001:AddrPostfach">
    <vt:lpwstr/>
  </property>
  <property fmtid="{D5CDD505-2E9C-101B-9397-08002B2CF9AE}" pid="270" name="FSC#CCAPRECONFIG@15.1001:AddrPostleitzahl">
    <vt:lpwstr/>
  </property>
  <property fmtid="{D5CDD505-2E9C-101B-9397-08002B2CF9AE}" pid="271" name="FSC#CCAPRECONFIG@15.1001:AddrOrt">
    <vt:lpwstr/>
  </property>
  <property fmtid="{D5CDD505-2E9C-101B-9397-08002B2CF9AE}" pid="272" name="FSC#CCAPRECONFIG@15.1001:AddrLand">
    <vt:lpwstr/>
  </property>
  <property fmtid="{D5CDD505-2E9C-101B-9397-08002B2CF9AE}" pid="273" name="FSC#CCAPRECONFIG@15.1001:AddrEmail">
    <vt:lpwstr/>
  </property>
  <property fmtid="{D5CDD505-2E9C-101B-9397-08002B2CF9AE}" pid="274" name="FSC#CCAPRECONFIG@15.1001:AddrAdresse">
    <vt:lpwstr/>
  </property>
  <property fmtid="{D5CDD505-2E9C-101B-9397-08002B2CF9AE}" pid="275" name="FSC#CCAPRECONFIG@15.1001:AddrFax">
    <vt:lpwstr/>
  </property>
  <property fmtid="{D5CDD505-2E9C-101B-9397-08002B2CF9AE}" pid="276" name="FSC#CCAPRECONFIG@15.1001:AddrOrganisationsname">
    <vt:lpwstr/>
  </property>
  <property fmtid="{D5CDD505-2E9C-101B-9397-08002B2CF9AE}" pid="277" name="FSC#CCAPRECONFIG@15.1001:AddrOrganisationskurzname">
    <vt:lpwstr/>
  </property>
  <property fmtid="{D5CDD505-2E9C-101B-9397-08002B2CF9AE}" pid="278" name="FSC#CCAPRECONFIG@15.1001:AddrAbschriftsbemerkung">
    <vt:lpwstr/>
  </property>
  <property fmtid="{D5CDD505-2E9C-101B-9397-08002B2CF9AE}" pid="279" name="FSC#CCAPRECONFIG@15.1001:AddrName_Zeile_2">
    <vt:lpwstr/>
  </property>
  <property fmtid="{D5CDD505-2E9C-101B-9397-08002B2CF9AE}" pid="280" name="FSC#CCAPRECONFIG@15.1001:AddrName_Zeile_3">
    <vt:lpwstr/>
  </property>
  <property fmtid="{D5CDD505-2E9C-101B-9397-08002B2CF9AE}" pid="281" name="FSC#CCAPRECONFIG@15.1001:AddrPostalischeAdresse">
    <vt:lpwstr/>
  </property>
  <property fmtid="{D5CDD505-2E9C-101B-9397-08002B2CF9AE}" pid="282" name="FSC#CCAPRECONFIG@15.1001:AddrKategorie">
    <vt:lpwstr/>
  </property>
  <property fmtid="{D5CDD505-2E9C-101B-9397-08002B2CF9AE}" pid="283" name="FSC#CCAPRECONFIG@15.1001:AddrRechtsform">
    <vt:lpwstr/>
  </property>
  <property fmtid="{D5CDD505-2E9C-101B-9397-08002B2CF9AE}" pid="284" name="FSC#CCAPRECONFIG@15.1001:AddrZiel">
    <vt:lpwstr/>
  </property>
  <property fmtid="{D5CDD505-2E9C-101B-9397-08002B2CF9AE}" pid="285" name="FSC#CCAPRECONFIG@15.1001:AddrBerufstitel">
    <vt:lpwstr/>
  </property>
  <property fmtid="{D5CDD505-2E9C-101B-9397-08002B2CF9AE}" pid="286" name="FSC#CCAPRECONFIG@15.1001:AddrFunktionsbezeichnung">
    <vt:lpwstr/>
  </property>
  <property fmtid="{D5CDD505-2E9C-101B-9397-08002B2CF9AE}" pid="287" name="FSC#CCAPRECONFIG@15.1001:AddrTelefonnummer">
    <vt:lpwstr/>
  </property>
  <property fmtid="{D5CDD505-2E9C-101B-9397-08002B2CF9AE}" pid="288" name="FSC#CCAPRECONFIG@15.1001:AddrGeburtstag">
    <vt:lpwstr/>
  </property>
  <property fmtid="{D5CDD505-2E9C-101B-9397-08002B2CF9AE}" pid="289" name="FSC#CCAPRECONFIG@15.1001:AddrFirmenbuchnummer">
    <vt:lpwstr/>
  </property>
  <property fmtid="{D5CDD505-2E9C-101B-9397-08002B2CF9AE}" pid="290" name="FSC#CCAPRECONFIG@15.1001:AddrSozialversicherungsnummer">
    <vt:lpwstr/>
  </property>
  <property fmtid="{D5CDD505-2E9C-101B-9397-08002B2CF9AE}" pid="291" name="FSC#CCAPRECONFIG@15.1001:Additional1">
    <vt:lpwstr/>
  </property>
  <property fmtid="{D5CDD505-2E9C-101B-9397-08002B2CF9AE}" pid="292" name="FSC#CCAPRECONFIG@15.1001:Additional2">
    <vt:lpwstr/>
  </property>
  <property fmtid="{D5CDD505-2E9C-101B-9397-08002B2CF9AE}" pid="293" name="FSC#CCAPRECONFIG@15.1001:Additional3">
    <vt:lpwstr/>
  </property>
  <property fmtid="{D5CDD505-2E9C-101B-9397-08002B2CF9AE}" pid="294" name="FSC#CCAPRECONFIG@15.1001:Additional4">
    <vt:lpwstr/>
  </property>
  <property fmtid="{D5CDD505-2E9C-101B-9397-08002B2CF9AE}" pid="295" name="FSC#CCAPRECONFIG@15.1001:Additional5">
    <vt:lpwstr/>
  </property>
  <property fmtid="{D5CDD505-2E9C-101B-9397-08002B2CF9AE}" pid="296" name="FSC#COOELAK@1.1001:ObjectAddressees">
    <vt:lpwstr/>
  </property>
  <property fmtid="{D5CDD505-2E9C-101B-9397-08002B2CF9AE}" pid="297" name="FSC#COOELAK@1.1001:replyreference">
    <vt:lpwstr/>
  </property>
  <property fmtid="{D5CDD505-2E9C-101B-9397-08002B2CF9AE}" pid="298" name="FSC#FSCGOVDE@1.1001:FileRefOUEmail">
    <vt:lpwstr/>
  </property>
  <property fmtid="{D5CDD505-2E9C-101B-9397-08002B2CF9AE}" pid="299" name="FSC#FSCGOVDE@1.1001:ProcedureReference">
    <vt:lpwstr/>
  </property>
  <property fmtid="{D5CDD505-2E9C-101B-9397-08002B2CF9AE}" pid="300" name="FSC#FSCGOVDE@1.1001:FileSubject">
    <vt:lpwstr/>
  </property>
  <property fmtid="{D5CDD505-2E9C-101B-9397-08002B2CF9AE}" pid="301" name="FSC#FSCGOVDE@1.1001:ProcedureSubject">
    <vt:lpwstr/>
  </property>
  <property fmtid="{D5CDD505-2E9C-101B-9397-08002B2CF9AE}" pid="302" name="FSC#FSCGOVDE@1.1001:SignFinalVersionBy">
    <vt:lpwstr/>
  </property>
  <property fmtid="{D5CDD505-2E9C-101B-9397-08002B2CF9AE}" pid="303" name="FSC#FSCGOVDE@1.1001:SignFinalVersionAt">
    <vt:lpwstr/>
  </property>
  <property fmtid="{D5CDD505-2E9C-101B-9397-08002B2CF9AE}" pid="304" name="FSC#FSCGOVDE@1.1001:ProcedureRefBarCode">
    <vt:lpwstr/>
  </property>
  <property fmtid="{D5CDD505-2E9C-101B-9397-08002B2CF9AE}" pid="305" name="FSC#FSCGOVDE@1.1001:FileAddSubj">
    <vt:lpwstr/>
  </property>
  <property fmtid="{D5CDD505-2E9C-101B-9397-08002B2CF9AE}" pid="306" name="FSC#FSCGOVDE@1.1001:DocumentSubj">
    <vt:lpwstr/>
  </property>
  <property fmtid="{D5CDD505-2E9C-101B-9397-08002B2CF9AE}" pid="307" name="FSC#FSCGOVDE@1.1001:FileRel">
    <vt:lpwstr/>
  </property>
  <property fmtid="{D5CDD505-2E9C-101B-9397-08002B2CF9AE}" pid="308" name="FSC#DEPRECONFIG@15.1001:DocumentTitle">
    <vt:lpwstr/>
  </property>
  <property fmtid="{D5CDD505-2E9C-101B-9397-08002B2CF9AE}" pid="309" name="FSC#DEPRECONFIG@15.1001:ProcedureTitle">
    <vt:lpwstr/>
  </property>
  <property fmtid="{D5CDD505-2E9C-101B-9397-08002B2CF9AE}" pid="310" name="FSC#DEPRECONFIG@15.1001:AuthorTitle">
    <vt:lpwstr>Dr.</vt:lpwstr>
  </property>
  <property fmtid="{D5CDD505-2E9C-101B-9397-08002B2CF9AE}" pid="311" name="FSC#DEPRECONFIG@15.1001:AuthorSalution">
    <vt:lpwstr>Herr</vt:lpwstr>
  </property>
  <property fmtid="{D5CDD505-2E9C-101B-9397-08002B2CF9AE}" pid="312" name="FSC#DEPRECONFIG@15.1001:AuthorName">
    <vt:lpwstr>Volker Öppling</vt:lpwstr>
  </property>
  <property fmtid="{D5CDD505-2E9C-101B-9397-08002B2CF9AE}" pid="313" name="FSC#DEPRECONFIG@15.1001:AuthorMail">
    <vt:lpwstr>Volker.Oeppling@pei.de</vt:lpwstr>
  </property>
  <property fmtid="{D5CDD505-2E9C-101B-9397-08002B2CF9AE}" pid="314" name="FSC#DEPRECONFIG@15.1001:AuthorTelephone">
    <vt:lpwstr>+49 6103 77 3601</vt:lpwstr>
  </property>
  <property fmtid="{D5CDD505-2E9C-101B-9397-08002B2CF9AE}" pid="315" name="FSC#DEPRECONFIG@15.1001:AuthorFax">
    <vt:lpwstr/>
  </property>
  <property fmtid="{D5CDD505-2E9C-101B-9397-08002B2CF9AE}" pid="316" name="FSC#DEPRECONFIG@15.1001:AuthorOE">
    <vt:lpwstr>1/2 (Fachgebiet 1/2 - Mikrobiologische Impfstoffe)</vt:lpwstr>
  </property>
  <property fmtid="{D5CDD505-2E9C-101B-9397-08002B2CF9AE}" pid="317" name="FSC#COOSYSTEM@1.1:Container">
    <vt:lpwstr>COO.2220.100.8.3670308</vt:lpwstr>
  </property>
  <property fmtid="{D5CDD505-2E9C-101B-9397-08002B2CF9AE}" pid="318" name="FSC#FSCFOLIO@1.1001:docpropproject">
    <vt:lpwstr/>
  </property>
  <property fmtid="{D5CDD505-2E9C-101B-9397-08002B2CF9AE}" pid="319" name="ContentTypeId">
    <vt:lpwstr>0x010100B7E0B7FD60883B4595285877F6B2DA8F</vt:lpwstr>
  </property>
</Properties>
</file>